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B441" w14:textId="77777777" w:rsidR="009C6D5F" w:rsidRPr="009C6D5F" w:rsidRDefault="009C6D5F" w:rsidP="009C6D5F">
      <w:pPr>
        <w:spacing w:before="450" w:after="240" w:line="264" w:lineRule="atLeast"/>
        <w:outlineLvl w:val="2"/>
        <w:rPr>
          <w:rFonts w:ascii="&amp;quot" w:eastAsia="Times New Roman" w:hAnsi="&amp;quot" w:cs="Times New Roman"/>
          <w:color w:val="00587C"/>
          <w:sz w:val="31"/>
          <w:szCs w:val="31"/>
          <w:lang w:eastAsia="en-GB"/>
        </w:rPr>
      </w:pPr>
      <w:r w:rsidRPr="009C6D5F">
        <w:rPr>
          <w:rFonts w:ascii="&amp;quot" w:eastAsia="Times New Roman" w:hAnsi="&amp;quot" w:cs="Times New Roman"/>
          <w:color w:val="00587C"/>
          <w:sz w:val="31"/>
          <w:szCs w:val="31"/>
          <w:lang w:eastAsia="en-GB"/>
        </w:rPr>
        <w:t>BIMCO Sanctions Clause for Voyage Charter Parties 2020*</w:t>
      </w:r>
    </w:p>
    <w:p w14:paraId="267CECEB"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(a) For the purposes of this Clause:</w:t>
      </w:r>
    </w:p>
    <w:p w14:paraId="2199BBE7"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“Sanctioned Activity” means any activity, service, carriage, trade or voyage subject to sanctions imposed by a Sanctioning Authority.</w:t>
      </w:r>
    </w:p>
    <w:p w14:paraId="21CA602A"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 xml:space="preserve">“Sanctioning Authority” means the United Nations, European Union, United Kingdom, United States of America or any other applicable competent authority or government. </w:t>
      </w:r>
    </w:p>
    <w:p w14:paraId="6BD7FD87"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“Sanctioned Party” means any persons, entities, bodies, or vessels designated by a Sanctioning Authority.</w:t>
      </w:r>
    </w:p>
    <w:p w14:paraId="58260ED1"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(b) Owners warrant that at the date of this Charter Party and throughout its duration they, the registered owners, bareboat charterers, intermediate disponent owners, managers, the Vessel and any substitute are not a Sanctioned Party.</w:t>
      </w:r>
    </w:p>
    <w:p w14:paraId="47133B9F"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 xml:space="preserve">(c) Charterers warrant that at the date of this Charter Party and throughout its duration they and any </w:t>
      </w:r>
      <w:proofErr w:type="spellStart"/>
      <w:r w:rsidRPr="009C6D5F">
        <w:rPr>
          <w:rFonts w:ascii="&amp;quot" w:eastAsia="Times New Roman" w:hAnsi="&amp;quot" w:cs="Times New Roman"/>
          <w:color w:val="333333"/>
          <w:sz w:val="21"/>
          <w:szCs w:val="21"/>
          <w:lang w:eastAsia="en-GB"/>
        </w:rPr>
        <w:t>subcharterers</w:t>
      </w:r>
      <w:proofErr w:type="spellEnd"/>
      <w:r w:rsidRPr="009C6D5F">
        <w:rPr>
          <w:rFonts w:ascii="&amp;quot" w:eastAsia="Times New Roman" w:hAnsi="&amp;quot" w:cs="Times New Roman"/>
          <w:color w:val="333333"/>
          <w:sz w:val="21"/>
          <w:szCs w:val="21"/>
          <w:lang w:eastAsia="en-GB"/>
        </w:rPr>
        <w:t xml:space="preserve">, shippers, receivers and cargo interests are not a Sanctioned Party. </w:t>
      </w:r>
    </w:p>
    <w:p w14:paraId="47E3187B"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(d) If at any time either party is in breach of subclause (b) or (c) above then the party not in breach may terminate and/or claim damages resulting from the breach.</w:t>
      </w:r>
    </w:p>
    <w:p w14:paraId="6E2EF8BA"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(e) If performance of this Charter Party involves a Sanctioned Party or a Sanctioned Activity, without prejudice to any other rights that may be available in subclause (d) above:</w:t>
      </w:r>
    </w:p>
    <w:p w14:paraId="1B08F3CE" w14:textId="77777777" w:rsidR="009C6D5F" w:rsidRPr="009C6D5F" w:rsidRDefault="009C6D5F" w:rsidP="009C6D5F">
      <w:pPr>
        <w:spacing w:after="240" w:line="240" w:lineRule="auto"/>
        <w:ind w:left="567"/>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(i) if loading has not commenced, Owners may cancel this Charter Party; or</w:t>
      </w:r>
    </w:p>
    <w:p w14:paraId="417DDF9B" w14:textId="77777777" w:rsidR="009C6D5F" w:rsidRPr="009C6D5F" w:rsidRDefault="009C6D5F" w:rsidP="009C6D5F">
      <w:pPr>
        <w:spacing w:after="240" w:line="240" w:lineRule="auto"/>
        <w:ind w:left="567"/>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(ii) if the voyage or the loading has commenced, Owners may refuse to proceed and discharge any cargo already loaded at any safe port or place of their choice (including the port or place of loading) in complete fulfilment of this Charter Party,</w:t>
      </w:r>
    </w:p>
    <w:p w14:paraId="14F818E0"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provided always that if this Charter Party provides that loading and/or discharging is to take place within a range of ports or places that do not involve a Sanctioned Party or a Sanctioned Activity, Owners must first request Charterers to nominate an alternative port or place and may cancel the Charter Party or refuse to proceed on the voyage only if such nomination is not made within forty-eight (48) hours after the request.</w:t>
      </w:r>
    </w:p>
    <w:p w14:paraId="0CDEFB81"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(f) If in compliance with subclause (e) above anything is done or not done, such shall not be deemed a deviation, but shall be considered due fulfilment of this Charter Party.</w:t>
      </w:r>
    </w:p>
    <w:p w14:paraId="61634B31"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 xml:space="preserve">(g) Charterers shall indemnify Owners against any and all claims brought by the owners of the cargo and/or the holders of bills of lading, waybills or other documents evidencing contracts of carriage and/or </w:t>
      </w:r>
      <w:proofErr w:type="spellStart"/>
      <w:r w:rsidRPr="009C6D5F">
        <w:rPr>
          <w:rFonts w:ascii="&amp;quot" w:eastAsia="Times New Roman" w:hAnsi="&amp;quot" w:cs="Times New Roman"/>
          <w:color w:val="333333"/>
          <w:sz w:val="21"/>
          <w:szCs w:val="21"/>
          <w:lang w:eastAsia="en-GB"/>
        </w:rPr>
        <w:t>subcharterers</w:t>
      </w:r>
      <w:proofErr w:type="spellEnd"/>
      <w:r w:rsidRPr="009C6D5F">
        <w:rPr>
          <w:rFonts w:ascii="&amp;quot" w:eastAsia="Times New Roman" w:hAnsi="&amp;quot" w:cs="Times New Roman"/>
          <w:color w:val="333333"/>
          <w:sz w:val="21"/>
          <w:szCs w:val="21"/>
          <w:lang w:eastAsia="en-GB"/>
        </w:rPr>
        <w:t xml:space="preserve"> against Owners by reason of  Owners’ compliance with such alternative voyage orders or delivery of the cargo in accordance with subclause (e) above.</w:t>
      </w:r>
    </w:p>
    <w:p w14:paraId="39489402"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(h) Charterers shall procure that this Clause shall be incorporated into all sub-charters and bills of lading, waybills or other documents evidencing contracts of carriage issued pursuant to this Charter Party.</w:t>
      </w:r>
    </w:p>
    <w:p w14:paraId="3062D836" w14:textId="77777777" w:rsidR="009C6D5F" w:rsidRPr="009C6D5F" w:rsidRDefault="009C6D5F" w:rsidP="009C6D5F">
      <w:pPr>
        <w:spacing w:after="240" w:line="240" w:lineRule="auto"/>
        <w:rPr>
          <w:rFonts w:ascii="&amp;quot" w:eastAsia="Times New Roman" w:hAnsi="&amp;quot" w:cs="Times New Roman"/>
          <w:color w:val="333333"/>
          <w:sz w:val="21"/>
          <w:szCs w:val="21"/>
          <w:lang w:eastAsia="en-GB"/>
        </w:rPr>
      </w:pPr>
      <w:r w:rsidRPr="009C6D5F">
        <w:rPr>
          <w:rFonts w:ascii="&amp;quot" w:eastAsia="Times New Roman" w:hAnsi="&amp;quot" w:cs="Times New Roman"/>
          <w:color w:val="333333"/>
          <w:sz w:val="21"/>
          <w:szCs w:val="21"/>
          <w:lang w:eastAsia="en-GB"/>
        </w:rPr>
        <w:t>* This clause is not suitable for use in the container trades.</w:t>
      </w:r>
    </w:p>
    <w:p w14:paraId="2FB19AC4" w14:textId="77777777" w:rsidR="0037507D" w:rsidRDefault="0037507D">
      <w:bookmarkStart w:id="0" w:name="_GoBack"/>
      <w:bookmarkEnd w:id="0"/>
    </w:p>
    <w:sectPr w:rsidR="00375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5F"/>
    <w:rsid w:val="0037507D"/>
    <w:rsid w:val="009C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A5AC"/>
  <w15:chartTrackingRefBased/>
  <w15:docId w15:val="{E6120777-96AF-4A17-83F4-A64F5900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6D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6D5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C6D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5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F25AC6F6.dotm</Template>
  <TotalTime>0</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Tony</dc:creator>
  <cp:keywords/>
  <dc:description/>
  <cp:lastModifiedBy>Paulson Tony</cp:lastModifiedBy>
  <cp:revision>1</cp:revision>
  <dcterms:created xsi:type="dcterms:W3CDTF">2019-12-23T10:52:00Z</dcterms:created>
  <dcterms:modified xsi:type="dcterms:W3CDTF">2019-12-23T10:52:00Z</dcterms:modified>
</cp:coreProperties>
</file>