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3366" w14:textId="77777777" w:rsidR="00791F1A" w:rsidRPr="00791F1A" w:rsidRDefault="00791F1A" w:rsidP="00AD3316">
      <w:pPr>
        <w:jc w:val="center"/>
        <w:rPr>
          <w:rFonts w:ascii="Arial" w:hAnsi="Arial" w:cs="Arial"/>
          <w:b/>
          <w:sz w:val="20"/>
        </w:rPr>
      </w:pPr>
    </w:p>
    <w:p w14:paraId="1E52A5B3" w14:textId="6A1F61F7" w:rsidR="00CA1BF5" w:rsidRPr="00791F1A" w:rsidRDefault="00421EA4" w:rsidP="00CA1BF5">
      <w:pPr>
        <w:jc w:val="center"/>
        <w:rPr>
          <w:rFonts w:ascii="Arial" w:hAnsi="Arial" w:cs="Arial"/>
          <w:b/>
          <w:sz w:val="28"/>
          <w:szCs w:val="28"/>
        </w:rPr>
      </w:pPr>
      <w:r w:rsidRPr="00791F1A">
        <w:rPr>
          <w:rFonts w:ascii="Arial" w:hAnsi="Arial" w:cs="Arial"/>
          <w:b/>
          <w:sz w:val="28"/>
          <w:szCs w:val="28"/>
        </w:rPr>
        <w:t>Laid-</w:t>
      </w:r>
      <w:r w:rsidR="00AD3316" w:rsidRPr="00791F1A">
        <w:rPr>
          <w:rFonts w:ascii="Arial" w:hAnsi="Arial" w:cs="Arial"/>
          <w:b/>
          <w:sz w:val="28"/>
          <w:szCs w:val="28"/>
        </w:rPr>
        <w:t>Up Return</w:t>
      </w:r>
      <w:r w:rsidR="00B61F89" w:rsidRPr="00791F1A">
        <w:rPr>
          <w:rFonts w:ascii="Arial" w:hAnsi="Arial" w:cs="Arial"/>
          <w:b/>
          <w:sz w:val="28"/>
          <w:szCs w:val="28"/>
        </w:rPr>
        <w:t>s</w:t>
      </w:r>
      <w:r w:rsidR="00F8500D" w:rsidRPr="00791F1A">
        <w:rPr>
          <w:rFonts w:ascii="Arial" w:hAnsi="Arial" w:cs="Arial"/>
          <w:b/>
          <w:sz w:val="28"/>
          <w:szCs w:val="28"/>
        </w:rPr>
        <w:t xml:space="preserve"> </w:t>
      </w:r>
      <w:r w:rsidR="007D670F">
        <w:rPr>
          <w:rFonts w:ascii="Arial" w:hAnsi="Arial" w:cs="Arial"/>
          <w:b/>
          <w:sz w:val="28"/>
          <w:szCs w:val="28"/>
        </w:rPr>
        <w:t>20</w:t>
      </w:r>
      <w:r w:rsidR="002C19E4">
        <w:rPr>
          <w:rFonts w:ascii="Arial" w:hAnsi="Arial" w:cs="Arial"/>
          <w:b/>
          <w:sz w:val="28"/>
          <w:szCs w:val="28"/>
        </w:rPr>
        <w:t>2</w:t>
      </w:r>
      <w:r w:rsidR="00505D0D">
        <w:rPr>
          <w:rFonts w:ascii="Arial" w:hAnsi="Arial" w:cs="Arial"/>
          <w:b/>
          <w:sz w:val="28"/>
          <w:szCs w:val="28"/>
        </w:rPr>
        <w:t>6</w:t>
      </w:r>
      <w:r w:rsidR="00F8500D" w:rsidRPr="00791F1A">
        <w:rPr>
          <w:rFonts w:ascii="Arial" w:hAnsi="Arial" w:cs="Arial"/>
          <w:b/>
          <w:sz w:val="28"/>
          <w:szCs w:val="28"/>
        </w:rPr>
        <w:t xml:space="preserve"> / </w:t>
      </w:r>
      <w:r w:rsidR="007D670F">
        <w:rPr>
          <w:rFonts w:ascii="Arial" w:hAnsi="Arial" w:cs="Arial"/>
          <w:b/>
          <w:sz w:val="28"/>
          <w:szCs w:val="28"/>
        </w:rPr>
        <w:t>20</w:t>
      </w:r>
      <w:r w:rsidR="009460FF">
        <w:rPr>
          <w:rFonts w:ascii="Arial" w:hAnsi="Arial" w:cs="Arial"/>
          <w:b/>
          <w:sz w:val="28"/>
          <w:szCs w:val="28"/>
        </w:rPr>
        <w:t>2</w:t>
      </w:r>
      <w:r w:rsidR="00505D0D">
        <w:rPr>
          <w:rFonts w:ascii="Arial" w:hAnsi="Arial" w:cs="Arial"/>
          <w:b/>
          <w:sz w:val="28"/>
          <w:szCs w:val="28"/>
        </w:rPr>
        <w:t>7</w:t>
      </w:r>
    </w:p>
    <w:p w14:paraId="63AB8F1B" w14:textId="77777777" w:rsidR="00E117AB" w:rsidRPr="00791F1A" w:rsidRDefault="00D70BF3" w:rsidP="00AD3316">
      <w:pPr>
        <w:jc w:val="center"/>
        <w:rPr>
          <w:rFonts w:ascii="Arial" w:hAnsi="Arial" w:cs="Arial"/>
          <w:b/>
        </w:rPr>
      </w:pPr>
      <w:r w:rsidRPr="00791F1A">
        <w:rPr>
          <w:rFonts w:ascii="Arial" w:hAnsi="Arial" w:cs="Arial"/>
          <w:b/>
        </w:rPr>
        <w:t>Class 1</w:t>
      </w:r>
      <w:r w:rsidR="00AD3316" w:rsidRPr="00791F1A">
        <w:rPr>
          <w:rFonts w:ascii="Arial" w:hAnsi="Arial" w:cs="Arial"/>
          <w:b/>
        </w:rPr>
        <w:t xml:space="preserve"> Protection and Indemnity</w:t>
      </w:r>
    </w:p>
    <w:p w14:paraId="479DD8CC" w14:textId="77777777" w:rsidR="00AD3316" w:rsidRPr="00791F1A" w:rsidRDefault="00AD3316" w:rsidP="00D85EA2">
      <w:pPr>
        <w:rPr>
          <w:rFonts w:ascii="Arial" w:hAnsi="Arial" w:cs="Arial"/>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72"/>
      </w:tblGrid>
      <w:tr w:rsidR="0063303E" w:rsidRPr="00791F1A" w14:paraId="1F5EA6F6" w14:textId="77777777" w:rsidTr="00323624">
        <w:trPr>
          <w:trHeight w:val="285"/>
        </w:trPr>
        <w:tc>
          <w:tcPr>
            <w:tcW w:w="817" w:type="dxa"/>
          </w:tcPr>
          <w:p w14:paraId="0D92E9B9" w14:textId="77777777" w:rsidR="0063303E" w:rsidRPr="00791F1A" w:rsidRDefault="0063303E" w:rsidP="009F1DB4">
            <w:pPr>
              <w:spacing w:before="40" w:after="40"/>
              <w:rPr>
                <w:rFonts w:ascii="Arial" w:hAnsi="Arial" w:cs="Arial"/>
                <w:sz w:val="18"/>
                <w:szCs w:val="18"/>
              </w:rPr>
            </w:pPr>
            <w:r w:rsidRPr="00791F1A">
              <w:rPr>
                <w:rFonts w:ascii="Arial" w:hAnsi="Arial" w:cs="Arial"/>
                <w:sz w:val="18"/>
                <w:szCs w:val="18"/>
              </w:rPr>
              <w:t>To:</w:t>
            </w:r>
          </w:p>
        </w:tc>
        <w:tc>
          <w:tcPr>
            <w:tcW w:w="9072" w:type="dxa"/>
          </w:tcPr>
          <w:p w14:paraId="581D08FD" w14:textId="77777777" w:rsidR="0063303E" w:rsidRPr="00791F1A" w:rsidRDefault="0063303E" w:rsidP="0063303E">
            <w:pPr>
              <w:rPr>
                <w:rFonts w:ascii="Arial" w:hAnsi="Arial" w:cs="Arial"/>
                <w:sz w:val="18"/>
                <w:szCs w:val="18"/>
              </w:rPr>
            </w:pPr>
            <w:r w:rsidRPr="00791F1A">
              <w:rPr>
                <w:rFonts w:ascii="Arial" w:hAnsi="Arial" w:cs="Arial"/>
                <w:sz w:val="18"/>
                <w:szCs w:val="18"/>
              </w:rPr>
              <w:t>The West of England Ship Owners Mutual Ins</w:t>
            </w:r>
            <w:r w:rsidR="00F8500D" w:rsidRPr="00791F1A">
              <w:rPr>
                <w:rFonts w:ascii="Arial" w:hAnsi="Arial" w:cs="Arial"/>
                <w:sz w:val="18"/>
                <w:szCs w:val="18"/>
              </w:rPr>
              <w:t>urance Association (Luxembourg)</w:t>
            </w:r>
          </w:p>
          <w:p w14:paraId="6CEEC73F" w14:textId="77777777" w:rsidR="00F8500D" w:rsidRPr="00791F1A" w:rsidRDefault="00F8500D" w:rsidP="00F8500D">
            <w:pPr>
              <w:spacing w:before="40"/>
              <w:jc w:val="left"/>
              <w:rPr>
                <w:rFonts w:ascii="Arial" w:hAnsi="Arial" w:cs="Arial"/>
                <w:sz w:val="18"/>
                <w:szCs w:val="18"/>
              </w:rPr>
            </w:pPr>
            <w:r w:rsidRPr="00791F1A">
              <w:rPr>
                <w:rFonts w:ascii="Arial" w:hAnsi="Arial" w:cs="Arial"/>
                <w:sz w:val="18"/>
                <w:szCs w:val="18"/>
              </w:rPr>
              <w:t>Managers: West of England Insurance Services (Luxembourg) S.A</w:t>
            </w:r>
          </w:p>
        </w:tc>
      </w:tr>
    </w:tbl>
    <w:p w14:paraId="0D37F493" w14:textId="77777777" w:rsidR="00AD3316" w:rsidRPr="00791F1A" w:rsidRDefault="00AD3316" w:rsidP="00AD3316">
      <w:pPr>
        <w:rPr>
          <w:rFonts w:ascii="Arial" w:hAnsi="Arial" w:cs="Arial"/>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072"/>
      </w:tblGrid>
      <w:tr w:rsidR="00AD3316" w:rsidRPr="00791F1A" w14:paraId="1C8B5B83" w14:textId="77777777" w:rsidTr="00323624">
        <w:tc>
          <w:tcPr>
            <w:tcW w:w="817" w:type="dxa"/>
          </w:tcPr>
          <w:p w14:paraId="36AE70A3" w14:textId="77777777" w:rsidR="00AD3316" w:rsidRPr="00791F1A" w:rsidRDefault="00AD3316" w:rsidP="00D51902">
            <w:pPr>
              <w:rPr>
                <w:rFonts w:ascii="Arial" w:hAnsi="Arial" w:cs="Arial"/>
              </w:rPr>
            </w:pPr>
            <w:r w:rsidRPr="00791F1A">
              <w:rPr>
                <w:rFonts w:ascii="Arial" w:hAnsi="Arial" w:cs="Arial"/>
                <w:sz w:val="20"/>
              </w:rPr>
              <w:t>From:</w:t>
            </w:r>
          </w:p>
        </w:tc>
        <w:tc>
          <w:tcPr>
            <w:tcW w:w="9072" w:type="dxa"/>
          </w:tcPr>
          <w:p w14:paraId="5D23F0C2" w14:textId="77777777" w:rsidR="00421EA4" w:rsidRPr="00791F1A" w:rsidRDefault="00421EA4" w:rsidP="00A8081D">
            <w:pPr>
              <w:jc w:val="left"/>
              <w:rPr>
                <w:rFonts w:ascii="Arial" w:hAnsi="Arial" w:cs="Arial"/>
                <w:b/>
                <w:sz w:val="20"/>
              </w:rPr>
            </w:pPr>
          </w:p>
          <w:p w14:paraId="46D8309F" w14:textId="77777777" w:rsidR="0063303E" w:rsidRPr="00791F1A" w:rsidRDefault="0063303E" w:rsidP="00A8081D">
            <w:pPr>
              <w:jc w:val="left"/>
              <w:rPr>
                <w:rFonts w:ascii="Arial" w:hAnsi="Arial" w:cs="Arial"/>
                <w:b/>
                <w:sz w:val="20"/>
              </w:rPr>
            </w:pPr>
          </w:p>
          <w:p w14:paraId="6ECE1E0C" w14:textId="77777777" w:rsidR="00641549" w:rsidRPr="00791F1A" w:rsidRDefault="00641549" w:rsidP="00A8081D">
            <w:pPr>
              <w:jc w:val="left"/>
              <w:rPr>
                <w:rFonts w:ascii="Arial" w:hAnsi="Arial" w:cs="Arial"/>
                <w:b/>
                <w:sz w:val="20"/>
              </w:rPr>
            </w:pPr>
          </w:p>
          <w:p w14:paraId="7463ADD7" w14:textId="77777777" w:rsidR="00641549" w:rsidRPr="00791F1A" w:rsidRDefault="00641549" w:rsidP="00A8081D">
            <w:pPr>
              <w:jc w:val="left"/>
              <w:rPr>
                <w:rFonts w:ascii="Arial" w:hAnsi="Arial" w:cs="Arial"/>
                <w:b/>
                <w:sz w:val="20"/>
              </w:rPr>
            </w:pPr>
          </w:p>
          <w:p w14:paraId="2F10F822" w14:textId="77777777" w:rsidR="00421EA4" w:rsidRPr="00791F1A" w:rsidRDefault="00421EA4" w:rsidP="00A8081D">
            <w:pPr>
              <w:jc w:val="left"/>
              <w:rPr>
                <w:rFonts w:ascii="Arial" w:hAnsi="Arial" w:cs="Arial"/>
                <w:b/>
                <w:sz w:val="20"/>
              </w:rPr>
            </w:pPr>
          </w:p>
          <w:p w14:paraId="390C00E6" w14:textId="77777777" w:rsidR="00421EA4" w:rsidRPr="00791F1A" w:rsidRDefault="00421EA4" w:rsidP="00A8081D">
            <w:pPr>
              <w:jc w:val="left"/>
              <w:rPr>
                <w:rFonts w:ascii="Arial" w:hAnsi="Arial" w:cs="Arial"/>
                <w:b/>
                <w:sz w:val="20"/>
              </w:rPr>
            </w:pPr>
          </w:p>
        </w:tc>
      </w:tr>
    </w:tbl>
    <w:p w14:paraId="29426FE8" w14:textId="77777777" w:rsidR="00421EA4" w:rsidRPr="00791F1A" w:rsidRDefault="00421EA4" w:rsidP="00421EA4">
      <w:pPr>
        <w:ind w:left="709"/>
        <w:jc w:val="left"/>
        <w:rPr>
          <w:rFonts w:ascii="Arial" w:hAnsi="Arial" w:cs="Arial"/>
          <w:b/>
          <w:i/>
          <w:sz w:val="18"/>
          <w:szCs w:val="18"/>
        </w:rPr>
      </w:pPr>
      <w:r w:rsidRPr="00791F1A">
        <w:rPr>
          <w:rFonts w:ascii="Arial" w:hAnsi="Arial" w:cs="Arial"/>
          <w:b/>
          <w:i/>
          <w:sz w:val="18"/>
          <w:szCs w:val="18"/>
        </w:rPr>
        <w:t>Please insert name and address of Member</w:t>
      </w:r>
    </w:p>
    <w:p w14:paraId="74CBDD69" w14:textId="77777777" w:rsidR="00AD3316" w:rsidRPr="00791F1A" w:rsidRDefault="00AD3316" w:rsidP="00AD3316">
      <w:pPr>
        <w:rPr>
          <w:rFonts w:ascii="Arial" w:hAnsi="Arial" w:cs="Arial"/>
        </w:rPr>
      </w:pPr>
    </w:p>
    <w:p w14:paraId="4BFA05F2" w14:textId="77777777" w:rsidR="004E2B97" w:rsidRPr="00791F1A" w:rsidRDefault="00421EA4" w:rsidP="00CD44DA">
      <w:pPr>
        <w:jc w:val="left"/>
        <w:rPr>
          <w:rFonts w:ascii="Arial" w:hAnsi="Arial" w:cs="Arial"/>
          <w:sz w:val="20"/>
        </w:rPr>
      </w:pPr>
      <w:r w:rsidRPr="00791F1A">
        <w:rPr>
          <w:rFonts w:ascii="Arial" w:hAnsi="Arial" w:cs="Arial"/>
          <w:sz w:val="20"/>
        </w:rPr>
        <w:t>Dear Sirs</w:t>
      </w:r>
      <w:r w:rsidR="00B61F89" w:rsidRPr="00791F1A">
        <w:rPr>
          <w:rFonts w:ascii="Arial" w:hAnsi="Arial" w:cs="Arial"/>
          <w:sz w:val="20"/>
        </w:rPr>
        <w:t>, p</w:t>
      </w:r>
      <w:r w:rsidRPr="00791F1A">
        <w:rPr>
          <w:rFonts w:ascii="Arial" w:hAnsi="Arial" w:cs="Arial"/>
          <w:sz w:val="20"/>
        </w:rPr>
        <w:t>lease will you credit us with laid-</w:t>
      </w:r>
      <w:r w:rsidR="004E2B97" w:rsidRPr="00791F1A">
        <w:rPr>
          <w:rFonts w:ascii="Arial" w:hAnsi="Arial" w:cs="Arial"/>
          <w:sz w:val="20"/>
        </w:rPr>
        <w:t xml:space="preserve">up returns in </w:t>
      </w:r>
      <w:r w:rsidR="00E117AB" w:rsidRPr="00791F1A">
        <w:rPr>
          <w:rFonts w:ascii="Arial" w:hAnsi="Arial" w:cs="Arial"/>
          <w:sz w:val="20"/>
        </w:rPr>
        <w:t xml:space="preserve">accordance with </w:t>
      </w:r>
      <w:r w:rsidR="00F63379" w:rsidRPr="00791F1A">
        <w:rPr>
          <w:rFonts w:ascii="Arial" w:hAnsi="Arial" w:cs="Arial"/>
          <w:sz w:val="20"/>
        </w:rPr>
        <w:t>Class 1</w:t>
      </w:r>
      <w:r w:rsidR="00D70BF3" w:rsidRPr="00791F1A">
        <w:rPr>
          <w:rFonts w:ascii="Arial" w:hAnsi="Arial" w:cs="Arial"/>
          <w:sz w:val="20"/>
        </w:rPr>
        <w:t xml:space="preserve"> Rule 48</w:t>
      </w:r>
      <w:r w:rsidR="00C26B51" w:rsidRPr="00791F1A">
        <w:rPr>
          <w:rFonts w:ascii="Arial" w:hAnsi="Arial" w:cs="Arial"/>
          <w:sz w:val="20"/>
        </w:rPr>
        <w:t xml:space="preserve"> </w:t>
      </w:r>
      <w:r w:rsidRPr="00791F1A">
        <w:rPr>
          <w:rFonts w:ascii="Arial" w:hAnsi="Arial" w:cs="Arial"/>
          <w:sz w:val="20"/>
        </w:rPr>
        <w:t>(as</w:t>
      </w:r>
      <w:r w:rsidR="006C221F" w:rsidRPr="00791F1A">
        <w:rPr>
          <w:rFonts w:ascii="Arial" w:hAnsi="Arial" w:cs="Arial"/>
          <w:sz w:val="20"/>
        </w:rPr>
        <w:t xml:space="preserve"> </w:t>
      </w:r>
      <w:r w:rsidR="00B61F89" w:rsidRPr="00791F1A">
        <w:rPr>
          <w:rFonts w:ascii="Arial" w:hAnsi="Arial" w:cs="Arial"/>
          <w:sz w:val="20"/>
        </w:rPr>
        <w:t>set out overleaf) in respect of the following lay-up:</w:t>
      </w:r>
    </w:p>
    <w:p w14:paraId="51C2F80B" w14:textId="77777777" w:rsidR="00C26B51" w:rsidRPr="00791F1A" w:rsidRDefault="00C26B51" w:rsidP="00CD44DA">
      <w:pPr>
        <w:jc w:val="left"/>
        <w:rPr>
          <w:rFonts w:ascii="Arial" w:hAnsi="Arial" w:cs="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662"/>
      </w:tblGrid>
      <w:tr w:rsidR="00C26B51" w:rsidRPr="00791F1A" w14:paraId="278C8684" w14:textId="77777777" w:rsidTr="00F8500D">
        <w:tc>
          <w:tcPr>
            <w:tcW w:w="3227" w:type="dxa"/>
          </w:tcPr>
          <w:p w14:paraId="3FB2A3C0" w14:textId="77777777" w:rsidR="00C26B51" w:rsidRPr="00791F1A" w:rsidRDefault="00C26B51" w:rsidP="00A8081D">
            <w:pPr>
              <w:jc w:val="left"/>
              <w:rPr>
                <w:rFonts w:ascii="Arial" w:hAnsi="Arial" w:cs="Arial"/>
                <w:sz w:val="20"/>
              </w:rPr>
            </w:pPr>
            <w:r w:rsidRPr="00791F1A">
              <w:rPr>
                <w:rFonts w:ascii="Arial" w:hAnsi="Arial" w:cs="Arial"/>
                <w:sz w:val="20"/>
              </w:rPr>
              <w:t>Vessel</w:t>
            </w:r>
            <w:r w:rsidR="00421EA4" w:rsidRPr="00791F1A">
              <w:rPr>
                <w:rFonts w:ascii="Arial" w:hAnsi="Arial" w:cs="Arial"/>
                <w:sz w:val="20"/>
              </w:rPr>
              <w:t xml:space="preserve"> Name:</w:t>
            </w:r>
          </w:p>
        </w:tc>
        <w:tc>
          <w:tcPr>
            <w:tcW w:w="6662" w:type="dxa"/>
          </w:tcPr>
          <w:p w14:paraId="4340C9DA" w14:textId="77777777" w:rsidR="00A13D7C" w:rsidRPr="00791F1A" w:rsidRDefault="00A13D7C" w:rsidP="00A8081D">
            <w:pPr>
              <w:jc w:val="left"/>
              <w:rPr>
                <w:rFonts w:ascii="Arial" w:hAnsi="Arial" w:cs="Arial"/>
                <w:sz w:val="20"/>
              </w:rPr>
            </w:pPr>
          </w:p>
        </w:tc>
      </w:tr>
    </w:tbl>
    <w:p w14:paraId="55113305" w14:textId="77777777" w:rsidR="00C26B51" w:rsidRPr="00791F1A" w:rsidRDefault="00C26B51" w:rsidP="00CD44DA">
      <w:pPr>
        <w:jc w:val="left"/>
        <w:rPr>
          <w:rFonts w:ascii="Arial" w:hAnsi="Arial" w:cs="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662"/>
      </w:tblGrid>
      <w:tr w:rsidR="00C26B51" w:rsidRPr="00791F1A" w14:paraId="002E12BD" w14:textId="77777777" w:rsidTr="00F8500D">
        <w:tc>
          <w:tcPr>
            <w:tcW w:w="3227" w:type="dxa"/>
          </w:tcPr>
          <w:p w14:paraId="0FDF2215" w14:textId="77777777" w:rsidR="00C26B51" w:rsidRPr="00791F1A" w:rsidRDefault="00421EA4" w:rsidP="00F8500D">
            <w:pPr>
              <w:jc w:val="left"/>
              <w:rPr>
                <w:rFonts w:ascii="Arial" w:hAnsi="Arial" w:cs="Arial"/>
                <w:sz w:val="20"/>
              </w:rPr>
            </w:pPr>
            <w:r w:rsidRPr="00791F1A">
              <w:rPr>
                <w:rFonts w:ascii="Arial" w:hAnsi="Arial" w:cs="Arial"/>
                <w:sz w:val="20"/>
              </w:rPr>
              <w:t>Port or Place of</w:t>
            </w:r>
            <w:r w:rsidR="00F8500D" w:rsidRPr="00791F1A">
              <w:rPr>
                <w:rFonts w:ascii="Arial" w:hAnsi="Arial" w:cs="Arial"/>
                <w:sz w:val="20"/>
              </w:rPr>
              <w:t xml:space="preserve"> </w:t>
            </w:r>
            <w:r w:rsidRPr="00791F1A">
              <w:rPr>
                <w:rFonts w:ascii="Arial" w:hAnsi="Arial" w:cs="Arial"/>
                <w:sz w:val="20"/>
              </w:rPr>
              <w:t>Lay</w:t>
            </w:r>
            <w:r w:rsidR="00C26B51" w:rsidRPr="00791F1A">
              <w:rPr>
                <w:rFonts w:ascii="Arial" w:hAnsi="Arial" w:cs="Arial"/>
                <w:sz w:val="20"/>
              </w:rPr>
              <w:t>-Up</w:t>
            </w:r>
            <w:r w:rsidRPr="00791F1A">
              <w:rPr>
                <w:rFonts w:ascii="Arial" w:hAnsi="Arial" w:cs="Arial"/>
                <w:sz w:val="20"/>
              </w:rPr>
              <w:t xml:space="preserve"> and Latitude and Longitude Position</w:t>
            </w:r>
          </w:p>
        </w:tc>
        <w:tc>
          <w:tcPr>
            <w:tcW w:w="6662" w:type="dxa"/>
          </w:tcPr>
          <w:p w14:paraId="7E2B3C3E" w14:textId="77777777" w:rsidR="004E2B97" w:rsidRPr="00791F1A" w:rsidRDefault="004E2B97" w:rsidP="00A8081D">
            <w:pPr>
              <w:jc w:val="left"/>
              <w:rPr>
                <w:rFonts w:ascii="Arial" w:hAnsi="Arial" w:cs="Arial"/>
                <w:sz w:val="20"/>
              </w:rPr>
            </w:pPr>
          </w:p>
          <w:p w14:paraId="5BB314B4" w14:textId="77777777" w:rsidR="00A13D7C" w:rsidRPr="00791F1A" w:rsidRDefault="00A13D7C" w:rsidP="00A8081D">
            <w:pPr>
              <w:jc w:val="left"/>
              <w:rPr>
                <w:rFonts w:ascii="Arial" w:hAnsi="Arial" w:cs="Arial"/>
                <w:sz w:val="20"/>
              </w:rPr>
            </w:pPr>
          </w:p>
        </w:tc>
      </w:tr>
    </w:tbl>
    <w:p w14:paraId="02918BDE" w14:textId="77777777" w:rsidR="00A13D7C" w:rsidRPr="00791F1A" w:rsidRDefault="00A13D7C" w:rsidP="00CD44DA">
      <w:pPr>
        <w:rPr>
          <w:rFonts w:ascii="Arial" w:hAnsi="Arial" w:cs="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662"/>
      </w:tblGrid>
      <w:tr w:rsidR="00F8500D" w:rsidRPr="00791F1A" w14:paraId="582BF141" w14:textId="77777777" w:rsidTr="00BC2BA9">
        <w:tc>
          <w:tcPr>
            <w:tcW w:w="3227" w:type="dxa"/>
          </w:tcPr>
          <w:p w14:paraId="24AF87C3" w14:textId="77777777" w:rsidR="00F8500D" w:rsidRPr="00791F1A" w:rsidRDefault="00F8500D" w:rsidP="00F8500D">
            <w:pPr>
              <w:jc w:val="left"/>
              <w:rPr>
                <w:rFonts w:ascii="Arial" w:hAnsi="Arial" w:cs="Arial"/>
                <w:sz w:val="20"/>
              </w:rPr>
            </w:pPr>
            <w:r w:rsidRPr="00791F1A">
              <w:rPr>
                <w:rFonts w:ascii="Arial" w:hAnsi="Arial" w:cs="Arial"/>
                <w:sz w:val="20"/>
              </w:rPr>
              <w:t>Purpose of Lay-Up</w:t>
            </w:r>
          </w:p>
          <w:p w14:paraId="7CF809F5" w14:textId="77777777" w:rsidR="00F8500D" w:rsidRPr="00E56664" w:rsidRDefault="00F8500D" w:rsidP="00BB6C42">
            <w:pPr>
              <w:jc w:val="left"/>
              <w:rPr>
                <w:rFonts w:ascii="Arial" w:hAnsi="Arial" w:cs="Arial"/>
                <w:sz w:val="16"/>
                <w:szCs w:val="16"/>
              </w:rPr>
            </w:pPr>
            <w:r w:rsidRPr="00E56664">
              <w:rPr>
                <w:rFonts w:ascii="Arial" w:hAnsi="Arial" w:cs="Arial"/>
                <w:sz w:val="16"/>
                <w:szCs w:val="16"/>
              </w:rPr>
              <w:t xml:space="preserve">(eg </w:t>
            </w:r>
            <w:r w:rsidR="00BB6C42">
              <w:rPr>
                <w:rFonts w:ascii="Arial" w:hAnsi="Arial" w:cs="Arial"/>
                <w:sz w:val="16"/>
                <w:szCs w:val="16"/>
              </w:rPr>
              <w:t>Hot Lay Up</w:t>
            </w:r>
            <w:r w:rsidRPr="00E56664">
              <w:rPr>
                <w:rFonts w:ascii="Arial" w:hAnsi="Arial" w:cs="Arial"/>
                <w:sz w:val="16"/>
                <w:szCs w:val="16"/>
              </w:rPr>
              <w:t>/Cold Lay Up)</w:t>
            </w:r>
          </w:p>
        </w:tc>
        <w:tc>
          <w:tcPr>
            <w:tcW w:w="6662" w:type="dxa"/>
          </w:tcPr>
          <w:p w14:paraId="52A2FCEB" w14:textId="77777777" w:rsidR="00F8500D" w:rsidRPr="00791F1A" w:rsidRDefault="00F8500D" w:rsidP="00BC2BA9">
            <w:pPr>
              <w:jc w:val="left"/>
              <w:rPr>
                <w:rFonts w:ascii="Arial" w:hAnsi="Arial" w:cs="Arial"/>
                <w:sz w:val="20"/>
              </w:rPr>
            </w:pPr>
          </w:p>
          <w:p w14:paraId="51CD9DCF" w14:textId="77777777" w:rsidR="00F8500D" w:rsidRPr="00791F1A" w:rsidRDefault="00F8500D" w:rsidP="00BC2BA9">
            <w:pPr>
              <w:jc w:val="left"/>
              <w:rPr>
                <w:rFonts w:ascii="Arial" w:hAnsi="Arial" w:cs="Arial"/>
                <w:sz w:val="20"/>
              </w:rPr>
            </w:pPr>
          </w:p>
        </w:tc>
      </w:tr>
    </w:tbl>
    <w:p w14:paraId="28D32966" w14:textId="77777777" w:rsidR="00F8500D" w:rsidRPr="00791F1A" w:rsidRDefault="00F8500D" w:rsidP="00CD44DA">
      <w:pPr>
        <w:rPr>
          <w:rFonts w:ascii="Arial" w:hAnsi="Arial" w:cs="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851"/>
        <w:gridCol w:w="2126"/>
        <w:gridCol w:w="567"/>
        <w:gridCol w:w="2126"/>
        <w:gridCol w:w="1134"/>
        <w:gridCol w:w="1276"/>
      </w:tblGrid>
      <w:tr w:rsidR="00F8500D" w:rsidRPr="00791F1A" w14:paraId="452A203D" w14:textId="77777777" w:rsidTr="004A012C">
        <w:tc>
          <w:tcPr>
            <w:tcW w:w="1809" w:type="dxa"/>
          </w:tcPr>
          <w:p w14:paraId="47E7FF47" w14:textId="77777777" w:rsidR="00F8500D" w:rsidRPr="00791F1A" w:rsidRDefault="00F8500D" w:rsidP="00F8500D">
            <w:pPr>
              <w:jc w:val="left"/>
              <w:rPr>
                <w:rFonts w:ascii="Arial" w:hAnsi="Arial" w:cs="Arial"/>
                <w:sz w:val="20"/>
              </w:rPr>
            </w:pPr>
            <w:r w:rsidRPr="00791F1A">
              <w:rPr>
                <w:rFonts w:ascii="Arial" w:hAnsi="Arial" w:cs="Arial"/>
                <w:sz w:val="20"/>
              </w:rPr>
              <w:t xml:space="preserve">Period </w:t>
            </w:r>
            <w:r w:rsidR="004A012C" w:rsidRPr="00791F1A">
              <w:rPr>
                <w:rFonts w:ascii="Arial" w:hAnsi="Arial" w:cs="Arial"/>
                <w:sz w:val="20"/>
              </w:rPr>
              <w:t>of Lay-U</w:t>
            </w:r>
            <w:r w:rsidRPr="00791F1A">
              <w:rPr>
                <w:rFonts w:ascii="Arial" w:hAnsi="Arial" w:cs="Arial"/>
                <w:sz w:val="20"/>
              </w:rPr>
              <w:t xml:space="preserve">p </w:t>
            </w:r>
          </w:p>
        </w:tc>
        <w:tc>
          <w:tcPr>
            <w:tcW w:w="851" w:type="dxa"/>
          </w:tcPr>
          <w:p w14:paraId="2A391CBD" w14:textId="77777777" w:rsidR="00F8500D" w:rsidRPr="00791F1A" w:rsidRDefault="00F8500D" w:rsidP="00B61F89">
            <w:pPr>
              <w:jc w:val="left"/>
              <w:rPr>
                <w:rFonts w:ascii="Arial" w:hAnsi="Arial" w:cs="Arial"/>
                <w:sz w:val="20"/>
              </w:rPr>
            </w:pPr>
            <w:r w:rsidRPr="00791F1A">
              <w:rPr>
                <w:rFonts w:ascii="Arial" w:hAnsi="Arial" w:cs="Arial"/>
                <w:sz w:val="20"/>
              </w:rPr>
              <w:t>From:</w:t>
            </w:r>
          </w:p>
        </w:tc>
        <w:tc>
          <w:tcPr>
            <w:tcW w:w="2126" w:type="dxa"/>
          </w:tcPr>
          <w:p w14:paraId="6C103F3F" w14:textId="77777777" w:rsidR="00F8500D" w:rsidRPr="00791F1A" w:rsidRDefault="00F8500D" w:rsidP="00B61F89">
            <w:pPr>
              <w:jc w:val="left"/>
              <w:rPr>
                <w:rFonts w:ascii="Arial" w:hAnsi="Arial" w:cs="Arial"/>
                <w:sz w:val="20"/>
              </w:rPr>
            </w:pPr>
          </w:p>
        </w:tc>
        <w:tc>
          <w:tcPr>
            <w:tcW w:w="567" w:type="dxa"/>
          </w:tcPr>
          <w:p w14:paraId="465743C1" w14:textId="77777777" w:rsidR="00F8500D" w:rsidRPr="00791F1A" w:rsidRDefault="00F8500D" w:rsidP="00B61F89">
            <w:pPr>
              <w:jc w:val="left"/>
              <w:rPr>
                <w:rFonts w:ascii="Arial" w:hAnsi="Arial" w:cs="Arial"/>
                <w:sz w:val="20"/>
              </w:rPr>
            </w:pPr>
            <w:r w:rsidRPr="00791F1A">
              <w:rPr>
                <w:rFonts w:ascii="Arial" w:hAnsi="Arial" w:cs="Arial"/>
                <w:sz w:val="20"/>
              </w:rPr>
              <w:t>To:</w:t>
            </w:r>
          </w:p>
        </w:tc>
        <w:tc>
          <w:tcPr>
            <w:tcW w:w="2126" w:type="dxa"/>
          </w:tcPr>
          <w:p w14:paraId="1CCF244C" w14:textId="77777777" w:rsidR="00F8500D" w:rsidRPr="00791F1A" w:rsidRDefault="00F8500D" w:rsidP="00B61F89">
            <w:pPr>
              <w:jc w:val="left"/>
              <w:rPr>
                <w:rFonts w:ascii="Arial" w:hAnsi="Arial" w:cs="Arial"/>
                <w:sz w:val="20"/>
              </w:rPr>
            </w:pPr>
          </w:p>
        </w:tc>
        <w:tc>
          <w:tcPr>
            <w:tcW w:w="1134" w:type="dxa"/>
          </w:tcPr>
          <w:p w14:paraId="51B041A3" w14:textId="77777777" w:rsidR="00F8500D" w:rsidRPr="00791F1A" w:rsidRDefault="00F8500D" w:rsidP="00B61F89">
            <w:pPr>
              <w:jc w:val="left"/>
              <w:rPr>
                <w:rFonts w:ascii="Arial" w:hAnsi="Arial" w:cs="Arial"/>
                <w:sz w:val="20"/>
              </w:rPr>
            </w:pPr>
            <w:r w:rsidRPr="00791F1A">
              <w:rPr>
                <w:rFonts w:ascii="Arial" w:hAnsi="Arial" w:cs="Arial"/>
                <w:sz w:val="20"/>
              </w:rPr>
              <w:t>No. Days:</w:t>
            </w:r>
          </w:p>
        </w:tc>
        <w:tc>
          <w:tcPr>
            <w:tcW w:w="1276" w:type="dxa"/>
          </w:tcPr>
          <w:p w14:paraId="71D2F5BC" w14:textId="77777777" w:rsidR="00F8500D" w:rsidRPr="00791F1A" w:rsidRDefault="00F8500D" w:rsidP="00B61F89">
            <w:pPr>
              <w:jc w:val="left"/>
              <w:rPr>
                <w:rFonts w:ascii="Arial" w:hAnsi="Arial" w:cs="Arial"/>
                <w:sz w:val="20"/>
              </w:rPr>
            </w:pPr>
          </w:p>
        </w:tc>
      </w:tr>
    </w:tbl>
    <w:p w14:paraId="7C239036" w14:textId="77777777" w:rsidR="00D85EA2" w:rsidRPr="00791F1A" w:rsidRDefault="00D85EA2" w:rsidP="00CD44DA">
      <w:pPr>
        <w:rPr>
          <w:rFonts w:ascii="Arial" w:hAnsi="Arial" w:cs="Arial"/>
          <w:b/>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19"/>
      </w:tblGrid>
      <w:tr w:rsidR="00D85EA2" w:rsidRPr="00791F1A" w14:paraId="717B6C1B" w14:textId="77777777" w:rsidTr="004F7432">
        <w:tc>
          <w:tcPr>
            <w:tcW w:w="5070" w:type="dxa"/>
          </w:tcPr>
          <w:p w14:paraId="7B604F77" w14:textId="77777777" w:rsidR="00D85EA2" w:rsidRPr="00791F1A" w:rsidRDefault="004F7432" w:rsidP="0007045D">
            <w:pPr>
              <w:jc w:val="left"/>
              <w:rPr>
                <w:rFonts w:ascii="Arial" w:hAnsi="Arial" w:cs="Arial"/>
                <w:sz w:val="20"/>
              </w:rPr>
            </w:pPr>
            <w:r w:rsidRPr="00791F1A">
              <w:rPr>
                <w:rFonts w:ascii="Arial" w:hAnsi="Arial" w:cs="Arial"/>
                <w:sz w:val="20"/>
              </w:rPr>
              <w:t>How many crewmembers</w:t>
            </w:r>
            <w:r w:rsidR="0007045D" w:rsidRPr="00791F1A">
              <w:rPr>
                <w:rFonts w:ascii="Arial" w:hAnsi="Arial" w:cs="Arial"/>
                <w:sz w:val="20"/>
              </w:rPr>
              <w:t xml:space="preserve"> remained </w:t>
            </w:r>
            <w:r w:rsidR="00D85EA2" w:rsidRPr="00791F1A">
              <w:rPr>
                <w:rFonts w:ascii="Arial" w:hAnsi="Arial" w:cs="Arial"/>
                <w:sz w:val="20"/>
              </w:rPr>
              <w:t>on board during the lay</w:t>
            </w:r>
            <w:r w:rsidR="004A012C" w:rsidRPr="00791F1A">
              <w:rPr>
                <w:rFonts w:ascii="Arial" w:hAnsi="Arial" w:cs="Arial"/>
                <w:sz w:val="20"/>
              </w:rPr>
              <w:t>-</w:t>
            </w:r>
            <w:r w:rsidR="00D85EA2" w:rsidRPr="00791F1A">
              <w:rPr>
                <w:rFonts w:ascii="Arial" w:hAnsi="Arial" w:cs="Arial"/>
                <w:sz w:val="20"/>
              </w:rPr>
              <w:t>up?</w:t>
            </w:r>
          </w:p>
        </w:tc>
        <w:tc>
          <w:tcPr>
            <w:tcW w:w="4819" w:type="dxa"/>
          </w:tcPr>
          <w:p w14:paraId="38D57F24" w14:textId="77777777" w:rsidR="00D85EA2" w:rsidRPr="00791F1A" w:rsidRDefault="00D85EA2" w:rsidP="00A8081D">
            <w:pPr>
              <w:jc w:val="left"/>
              <w:rPr>
                <w:rFonts w:ascii="Arial" w:hAnsi="Arial" w:cs="Arial"/>
                <w:sz w:val="20"/>
              </w:rPr>
            </w:pPr>
          </w:p>
        </w:tc>
      </w:tr>
      <w:tr w:rsidR="00D85EA2" w:rsidRPr="00791F1A" w14:paraId="6B571881" w14:textId="77777777" w:rsidTr="004F7432">
        <w:tc>
          <w:tcPr>
            <w:tcW w:w="5070" w:type="dxa"/>
          </w:tcPr>
          <w:p w14:paraId="26EF3475" w14:textId="77777777" w:rsidR="00D85EA2" w:rsidRPr="00791F1A" w:rsidRDefault="0007045D" w:rsidP="0007045D">
            <w:pPr>
              <w:jc w:val="left"/>
              <w:rPr>
                <w:rFonts w:ascii="Arial" w:hAnsi="Arial" w:cs="Arial"/>
                <w:sz w:val="20"/>
              </w:rPr>
            </w:pPr>
            <w:r w:rsidRPr="00791F1A">
              <w:rPr>
                <w:rFonts w:ascii="Arial" w:hAnsi="Arial" w:cs="Arial"/>
                <w:sz w:val="20"/>
              </w:rPr>
              <w:t xml:space="preserve">How many crewmembers were </w:t>
            </w:r>
            <w:r w:rsidR="00D85EA2" w:rsidRPr="00791F1A">
              <w:rPr>
                <w:rFonts w:ascii="Arial" w:hAnsi="Arial" w:cs="Arial"/>
                <w:sz w:val="20"/>
              </w:rPr>
              <w:t>required by the</w:t>
            </w:r>
            <w:r w:rsidRPr="00791F1A">
              <w:rPr>
                <w:rFonts w:ascii="Arial" w:hAnsi="Arial" w:cs="Arial"/>
                <w:sz w:val="20"/>
              </w:rPr>
              <w:t xml:space="preserve"> Port Authority and/or the</w:t>
            </w:r>
            <w:r w:rsidR="00D85EA2" w:rsidRPr="00791F1A">
              <w:rPr>
                <w:rFonts w:ascii="Arial" w:hAnsi="Arial" w:cs="Arial"/>
                <w:sz w:val="20"/>
              </w:rPr>
              <w:t xml:space="preserve"> vessel’s Flag Administration to remain on board during the lay</w:t>
            </w:r>
            <w:r w:rsidR="004A012C" w:rsidRPr="00791F1A">
              <w:rPr>
                <w:rFonts w:ascii="Arial" w:hAnsi="Arial" w:cs="Arial"/>
                <w:sz w:val="20"/>
              </w:rPr>
              <w:t>-</w:t>
            </w:r>
            <w:r w:rsidR="00D85EA2" w:rsidRPr="00791F1A">
              <w:rPr>
                <w:rFonts w:ascii="Arial" w:hAnsi="Arial" w:cs="Arial"/>
                <w:sz w:val="20"/>
              </w:rPr>
              <w:t>up?</w:t>
            </w:r>
          </w:p>
        </w:tc>
        <w:tc>
          <w:tcPr>
            <w:tcW w:w="4819" w:type="dxa"/>
          </w:tcPr>
          <w:p w14:paraId="41BC2EAA" w14:textId="77777777" w:rsidR="00D85EA2" w:rsidRPr="00791F1A" w:rsidRDefault="00D85EA2" w:rsidP="00A8081D">
            <w:pPr>
              <w:jc w:val="left"/>
              <w:rPr>
                <w:rFonts w:ascii="Arial" w:hAnsi="Arial" w:cs="Arial"/>
                <w:sz w:val="20"/>
              </w:rPr>
            </w:pPr>
          </w:p>
        </w:tc>
      </w:tr>
      <w:tr w:rsidR="00D85EA2" w:rsidRPr="00791F1A" w14:paraId="13D02BD0" w14:textId="77777777" w:rsidTr="004F7432">
        <w:tc>
          <w:tcPr>
            <w:tcW w:w="5070" w:type="dxa"/>
          </w:tcPr>
          <w:p w14:paraId="07540A86" w14:textId="77777777" w:rsidR="00D85EA2" w:rsidRPr="00791F1A" w:rsidRDefault="00D85EA2" w:rsidP="00D85EA2">
            <w:pPr>
              <w:jc w:val="left"/>
              <w:rPr>
                <w:rFonts w:ascii="Arial" w:hAnsi="Arial" w:cs="Arial"/>
                <w:sz w:val="20"/>
              </w:rPr>
            </w:pPr>
            <w:r w:rsidRPr="00791F1A">
              <w:rPr>
                <w:rFonts w:ascii="Arial" w:hAnsi="Arial" w:cs="Arial"/>
                <w:sz w:val="20"/>
              </w:rPr>
              <w:t>What is the total number of persons specified on the vessel’s Minimum Safe Manning Certificate?</w:t>
            </w:r>
            <w:r w:rsidR="00DD7A55">
              <w:rPr>
                <w:rFonts w:ascii="Arial" w:hAnsi="Arial" w:cs="Arial"/>
                <w:sz w:val="20"/>
              </w:rPr>
              <w:t xml:space="preserve"> </w:t>
            </w:r>
            <w:r w:rsidR="00DD7A55" w:rsidRPr="00DD7A55">
              <w:rPr>
                <w:rFonts w:ascii="Arial" w:hAnsi="Arial" w:cs="Arial"/>
                <w:i/>
                <w:iCs/>
                <w:sz w:val="20"/>
              </w:rPr>
              <w:t>Please forward a copy to the Association.</w:t>
            </w:r>
          </w:p>
        </w:tc>
        <w:tc>
          <w:tcPr>
            <w:tcW w:w="4819" w:type="dxa"/>
          </w:tcPr>
          <w:p w14:paraId="3E245B52" w14:textId="77777777" w:rsidR="00D85EA2" w:rsidRPr="00791F1A" w:rsidRDefault="00D85EA2" w:rsidP="00A8081D">
            <w:pPr>
              <w:jc w:val="left"/>
              <w:rPr>
                <w:rFonts w:ascii="Arial" w:hAnsi="Arial" w:cs="Arial"/>
                <w:sz w:val="20"/>
              </w:rPr>
            </w:pPr>
          </w:p>
        </w:tc>
      </w:tr>
    </w:tbl>
    <w:p w14:paraId="342D87EE" w14:textId="77777777" w:rsidR="00CD44DA" w:rsidRPr="00791F1A" w:rsidRDefault="00CD44DA" w:rsidP="00CD44DA">
      <w:pPr>
        <w:rPr>
          <w:rFonts w:ascii="Arial" w:hAnsi="Arial" w:cs="Arial"/>
          <w:sz w:val="20"/>
        </w:rPr>
      </w:pPr>
    </w:p>
    <w:p w14:paraId="51C4863C" w14:textId="77777777" w:rsidR="00E117AB" w:rsidRPr="00791F1A" w:rsidRDefault="00C05C1E" w:rsidP="00CD44DA">
      <w:pPr>
        <w:rPr>
          <w:rFonts w:ascii="Arial" w:hAnsi="Arial" w:cs="Arial"/>
          <w:sz w:val="20"/>
        </w:rPr>
      </w:pPr>
      <w:r w:rsidRPr="00791F1A">
        <w:rPr>
          <w:rFonts w:ascii="Arial" w:hAnsi="Arial" w:cs="Arial"/>
          <w:sz w:val="20"/>
        </w:rPr>
        <w:t>We enclose an original certificate or other document issued by the government or port authority having jurisdiction over the port or place of lay-up which states:</w:t>
      </w:r>
    </w:p>
    <w:p w14:paraId="7B5E7E4A" w14:textId="77777777" w:rsidR="00C05C1E" w:rsidRPr="00791F1A" w:rsidRDefault="00C05C1E" w:rsidP="007D670F">
      <w:pPr>
        <w:ind w:left="568" w:hanging="284"/>
        <w:jc w:val="left"/>
        <w:rPr>
          <w:rFonts w:ascii="Arial" w:hAnsi="Arial" w:cs="Arial"/>
          <w:sz w:val="20"/>
        </w:rPr>
      </w:pPr>
      <w:r w:rsidRPr="00791F1A">
        <w:rPr>
          <w:rFonts w:ascii="Arial" w:hAnsi="Arial" w:cs="Arial"/>
          <w:sz w:val="20"/>
        </w:rPr>
        <w:t>1. the port or place of lay-up</w:t>
      </w:r>
    </w:p>
    <w:p w14:paraId="731FDC8F" w14:textId="77777777" w:rsidR="00C05C1E" w:rsidRPr="00791F1A" w:rsidRDefault="00C05C1E" w:rsidP="007D670F">
      <w:pPr>
        <w:ind w:left="568" w:hanging="284"/>
        <w:jc w:val="left"/>
        <w:rPr>
          <w:rFonts w:ascii="Arial" w:hAnsi="Arial" w:cs="Arial"/>
          <w:sz w:val="20"/>
        </w:rPr>
      </w:pPr>
      <w:r w:rsidRPr="00791F1A">
        <w:rPr>
          <w:rFonts w:ascii="Arial" w:hAnsi="Arial" w:cs="Arial"/>
          <w:sz w:val="20"/>
        </w:rPr>
        <w:t>2. the date on which the lay-up period began and, if the lay-up h</w:t>
      </w:r>
      <w:r w:rsidR="00D70BF3" w:rsidRPr="00791F1A">
        <w:rPr>
          <w:rFonts w:ascii="Arial" w:hAnsi="Arial" w:cs="Arial"/>
          <w:sz w:val="20"/>
        </w:rPr>
        <w:t xml:space="preserve">as ended, the date on which the </w:t>
      </w:r>
      <w:r w:rsidRPr="00791F1A">
        <w:rPr>
          <w:rFonts w:ascii="Arial" w:hAnsi="Arial" w:cs="Arial"/>
          <w:sz w:val="20"/>
        </w:rPr>
        <w:t>lay-up ended</w:t>
      </w:r>
    </w:p>
    <w:p w14:paraId="285D4792" w14:textId="77777777" w:rsidR="00C05C1E" w:rsidRPr="00791F1A" w:rsidRDefault="00C05C1E" w:rsidP="007D670F">
      <w:pPr>
        <w:ind w:left="568" w:hanging="284"/>
        <w:jc w:val="left"/>
        <w:rPr>
          <w:rFonts w:ascii="Arial" w:hAnsi="Arial" w:cs="Arial"/>
          <w:sz w:val="20"/>
        </w:rPr>
      </w:pPr>
      <w:r w:rsidRPr="00791F1A">
        <w:rPr>
          <w:rFonts w:ascii="Arial" w:hAnsi="Arial" w:cs="Arial"/>
          <w:sz w:val="20"/>
        </w:rPr>
        <w:t>3. that the insured vessel had no cargo on board at any time during the lay-up period</w:t>
      </w:r>
    </w:p>
    <w:p w14:paraId="1D8F7BFD" w14:textId="77777777" w:rsidR="00E117AB" w:rsidRPr="00791F1A" w:rsidRDefault="00C05C1E" w:rsidP="007D670F">
      <w:pPr>
        <w:ind w:left="568" w:hanging="284"/>
        <w:jc w:val="left"/>
        <w:rPr>
          <w:rFonts w:ascii="Arial" w:hAnsi="Arial" w:cs="Arial"/>
          <w:sz w:val="20"/>
        </w:rPr>
      </w:pPr>
      <w:r w:rsidRPr="00791F1A">
        <w:rPr>
          <w:rFonts w:ascii="Arial" w:hAnsi="Arial" w:cs="Arial"/>
          <w:sz w:val="20"/>
        </w:rPr>
        <w:t>4. the number of crew on board during the lay up.</w:t>
      </w:r>
    </w:p>
    <w:p w14:paraId="24946B7C" w14:textId="77777777" w:rsidR="00E117AB" w:rsidRPr="00791F1A" w:rsidRDefault="00E117AB" w:rsidP="00CD44DA">
      <w:pPr>
        <w:rPr>
          <w:rFonts w:ascii="Arial" w:hAnsi="Arial" w:cs="Arial"/>
          <w:sz w:val="20"/>
        </w:rPr>
      </w:pPr>
    </w:p>
    <w:p w14:paraId="6CEC2DF7" w14:textId="77777777" w:rsidR="00346354" w:rsidRPr="00791F1A" w:rsidRDefault="00C05C1E" w:rsidP="00CD44DA">
      <w:pPr>
        <w:rPr>
          <w:rFonts w:ascii="Arial" w:hAnsi="Arial" w:cs="Arial"/>
          <w:sz w:val="20"/>
        </w:rPr>
      </w:pPr>
      <w:r w:rsidRPr="00791F1A">
        <w:rPr>
          <w:rFonts w:ascii="Arial" w:hAnsi="Arial" w:cs="Arial"/>
          <w:sz w:val="20"/>
        </w:rPr>
        <w:t>Your</w:t>
      </w:r>
      <w:r w:rsidR="00CA03CF" w:rsidRPr="00791F1A">
        <w:rPr>
          <w:rFonts w:ascii="Arial" w:hAnsi="Arial" w:cs="Arial"/>
          <w:sz w:val="20"/>
        </w:rPr>
        <w:t>s</w:t>
      </w:r>
      <w:r w:rsidRPr="00791F1A">
        <w:rPr>
          <w:rFonts w:ascii="Arial" w:hAnsi="Arial" w:cs="Arial"/>
          <w:sz w:val="20"/>
        </w:rPr>
        <w:t xml:space="preserve"> faithfully</w:t>
      </w:r>
      <w:r w:rsidR="00D85EA2" w:rsidRPr="00791F1A">
        <w:rPr>
          <w:rFonts w:ascii="Arial" w:hAnsi="Arial" w:cs="Arial"/>
          <w:sz w:val="20"/>
        </w:rPr>
        <w:t>,</w:t>
      </w:r>
    </w:p>
    <w:p w14:paraId="3BAC463B" w14:textId="77777777" w:rsidR="00791F1A" w:rsidRPr="00791F1A" w:rsidRDefault="00791F1A" w:rsidP="00791F1A">
      <w:pPr>
        <w:rPr>
          <w:rFonts w:ascii="Arial" w:hAnsi="Arial" w:cs="Arial"/>
          <w:sz w:val="16"/>
          <w:szCs w:val="16"/>
        </w:rPr>
      </w:pPr>
      <w:r w:rsidRPr="00791F1A">
        <w:rPr>
          <w:rFonts w:ascii="Arial" w:hAnsi="Arial" w:cs="Arial"/>
          <w:sz w:val="16"/>
          <w:szCs w:val="16"/>
        </w:rPr>
        <w:t>[signature]</w:t>
      </w:r>
    </w:p>
    <w:p w14:paraId="5B0F15AE" w14:textId="77777777" w:rsidR="00931266" w:rsidRDefault="00931266" w:rsidP="00CD44DA">
      <w:pPr>
        <w:rPr>
          <w:rFonts w:ascii="Arial" w:hAnsi="Arial" w:cs="Arial"/>
          <w:sz w:val="20"/>
        </w:rPr>
      </w:pPr>
    </w:p>
    <w:p w14:paraId="6CBFA2A7" w14:textId="77777777" w:rsidR="00791F1A" w:rsidRDefault="00791F1A" w:rsidP="00CD44DA">
      <w:pPr>
        <w:rPr>
          <w:rFonts w:ascii="Arial" w:hAnsi="Arial" w:cs="Arial"/>
          <w:sz w:val="20"/>
        </w:rPr>
      </w:pPr>
    </w:p>
    <w:p w14:paraId="0ECFD6D5" w14:textId="77777777" w:rsidR="00791F1A" w:rsidRDefault="00791F1A" w:rsidP="00CD44DA">
      <w:pPr>
        <w:rPr>
          <w:rFonts w:ascii="Arial" w:hAnsi="Arial" w:cs="Arial"/>
          <w:sz w:val="20"/>
        </w:rPr>
      </w:pPr>
    </w:p>
    <w:p w14:paraId="56716E16" w14:textId="77777777" w:rsidR="00D85EA2" w:rsidRPr="00791F1A" w:rsidRDefault="00D85EA2" w:rsidP="00CD44DA">
      <w:pPr>
        <w:rPr>
          <w:rFonts w:ascii="Arial" w:hAnsi="Arial" w:cs="Arial"/>
          <w:sz w:val="20"/>
        </w:rPr>
      </w:pPr>
      <w:r w:rsidRPr="00791F1A">
        <w:rPr>
          <w:rFonts w:ascii="Arial" w:hAnsi="Arial" w:cs="Arial"/>
          <w:sz w:val="20"/>
        </w:rPr>
        <w:t>Name:</w:t>
      </w:r>
      <w:r w:rsidR="0007045D" w:rsidRPr="00791F1A">
        <w:rPr>
          <w:rFonts w:ascii="Arial" w:hAnsi="Arial" w:cs="Arial"/>
          <w:sz w:val="20"/>
        </w:rPr>
        <w:t xml:space="preserve"> </w:t>
      </w:r>
    </w:p>
    <w:p w14:paraId="5899317C" w14:textId="77777777" w:rsidR="00D85EA2" w:rsidRPr="00791F1A" w:rsidRDefault="00D85EA2" w:rsidP="00CD44DA">
      <w:pPr>
        <w:rPr>
          <w:rFonts w:ascii="Arial" w:hAnsi="Arial" w:cs="Arial"/>
          <w:sz w:val="20"/>
        </w:rPr>
      </w:pPr>
      <w:r w:rsidRPr="00791F1A">
        <w:rPr>
          <w:rFonts w:ascii="Arial" w:hAnsi="Arial" w:cs="Arial"/>
          <w:sz w:val="20"/>
        </w:rPr>
        <w:t>Company Name:</w:t>
      </w:r>
    </w:p>
    <w:p w14:paraId="080C46AE" w14:textId="77777777" w:rsidR="003075F4" w:rsidRPr="00791F1A" w:rsidRDefault="00D85EA2" w:rsidP="00D85EA2">
      <w:pPr>
        <w:rPr>
          <w:rFonts w:ascii="Arial" w:hAnsi="Arial" w:cs="Arial"/>
          <w:sz w:val="20"/>
        </w:rPr>
      </w:pPr>
      <w:r w:rsidRPr="00791F1A">
        <w:rPr>
          <w:rFonts w:ascii="Arial" w:hAnsi="Arial" w:cs="Arial"/>
          <w:sz w:val="20"/>
        </w:rPr>
        <w:t>Date:</w:t>
      </w:r>
    </w:p>
    <w:p w14:paraId="5A003283" w14:textId="77777777" w:rsidR="003075F4" w:rsidRPr="00791F1A" w:rsidRDefault="003075F4" w:rsidP="00D85EA2">
      <w:pPr>
        <w:rPr>
          <w:rFonts w:ascii="Arial" w:hAnsi="Arial" w:cs="Arial"/>
        </w:rPr>
      </w:pPr>
    </w:p>
    <w:p w14:paraId="549EB95C" w14:textId="77777777" w:rsidR="003075F4" w:rsidRPr="00791F1A" w:rsidRDefault="003075F4" w:rsidP="003075F4">
      <w:pPr>
        <w:rPr>
          <w:rFonts w:ascii="Arial" w:hAnsi="Arial" w:cs="Arial"/>
          <w:sz w:val="20"/>
        </w:rPr>
      </w:pPr>
      <w:r w:rsidRPr="00791F1A">
        <w:rPr>
          <w:rFonts w:ascii="Arial" w:hAnsi="Arial" w:cs="Arial"/>
          <w:sz w:val="20"/>
        </w:rPr>
        <w:t>Please note:</w:t>
      </w:r>
    </w:p>
    <w:p w14:paraId="6839DC3B" w14:textId="77777777" w:rsidR="003075F4" w:rsidRPr="00791F1A" w:rsidRDefault="003075F4" w:rsidP="003075F4">
      <w:pPr>
        <w:numPr>
          <w:ilvl w:val="0"/>
          <w:numId w:val="11"/>
        </w:numPr>
        <w:jc w:val="left"/>
        <w:rPr>
          <w:rFonts w:ascii="Arial" w:hAnsi="Arial" w:cs="Arial"/>
          <w:sz w:val="20"/>
        </w:rPr>
      </w:pPr>
      <w:r w:rsidRPr="00791F1A">
        <w:rPr>
          <w:rFonts w:ascii="Arial" w:hAnsi="Arial" w:cs="Arial"/>
          <w:sz w:val="20"/>
        </w:rPr>
        <w:t xml:space="preserve">there must be no cargo on board </w:t>
      </w:r>
      <w:r w:rsidR="00323624" w:rsidRPr="00791F1A">
        <w:rPr>
          <w:rFonts w:ascii="Arial" w:hAnsi="Arial" w:cs="Arial"/>
          <w:sz w:val="20"/>
        </w:rPr>
        <w:t>during the laid</w:t>
      </w:r>
      <w:r w:rsidRPr="00791F1A">
        <w:rPr>
          <w:rFonts w:ascii="Arial" w:hAnsi="Arial" w:cs="Arial"/>
          <w:sz w:val="20"/>
        </w:rPr>
        <w:t>-up period for a return of premium to apply</w:t>
      </w:r>
    </w:p>
    <w:p w14:paraId="0EC2AD29" w14:textId="77777777" w:rsidR="003075F4" w:rsidRPr="00791F1A" w:rsidRDefault="003075F4" w:rsidP="003075F4">
      <w:pPr>
        <w:numPr>
          <w:ilvl w:val="0"/>
          <w:numId w:val="11"/>
        </w:numPr>
        <w:jc w:val="left"/>
        <w:rPr>
          <w:rFonts w:ascii="Arial" w:hAnsi="Arial" w:cs="Arial"/>
          <w:sz w:val="20"/>
        </w:rPr>
      </w:pPr>
      <w:r w:rsidRPr="00791F1A">
        <w:rPr>
          <w:rFonts w:ascii="Arial" w:hAnsi="Arial" w:cs="Arial"/>
          <w:sz w:val="20"/>
        </w:rPr>
        <w:t>laid-up periods of less than 30 days do not qualify for a return of premium</w:t>
      </w:r>
    </w:p>
    <w:p w14:paraId="5D79BCAF" w14:textId="77777777" w:rsidR="003075F4" w:rsidRPr="00791F1A" w:rsidRDefault="003075F4" w:rsidP="00D85EA2">
      <w:pPr>
        <w:numPr>
          <w:ilvl w:val="0"/>
          <w:numId w:val="11"/>
        </w:numPr>
        <w:jc w:val="left"/>
        <w:rPr>
          <w:rFonts w:ascii="Arial" w:hAnsi="Arial" w:cs="Arial"/>
          <w:sz w:val="20"/>
        </w:rPr>
      </w:pPr>
      <w:r w:rsidRPr="00791F1A">
        <w:rPr>
          <w:rFonts w:ascii="Arial" w:hAnsi="Arial" w:cs="Arial"/>
          <w:sz w:val="20"/>
        </w:rPr>
        <w:t xml:space="preserve">Rule 48 (4) </w:t>
      </w:r>
      <w:r w:rsidR="00300B3F" w:rsidRPr="00791F1A">
        <w:rPr>
          <w:rFonts w:ascii="Arial" w:hAnsi="Arial" w:cs="Arial"/>
          <w:sz w:val="20"/>
        </w:rPr>
        <w:t xml:space="preserve">and (5) which requires you to </w:t>
      </w:r>
      <w:r w:rsidRPr="00791F1A">
        <w:rPr>
          <w:rFonts w:ascii="Arial" w:hAnsi="Arial" w:cs="Arial"/>
          <w:sz w:val="20"/>
        </w:rPr>
        <w:t>let the Association know</w:t>
      </w:r>
      <w:r w:rsidR="004F7432" w:rsidRPr="00791F1A">
        <w:rPr>
          <w:rFonts w:ascii="Arial" w:hAnsi="Arial" w:cs="Arial"/>
          <w:sz w:val="20"/>
        </w:rPr>
        <w:t xml:space="preserve"> immediately a vessel</w:t>
      </w:r>
      <w:r w:rsidRPr="00791F1A">
        <w:rPr>
          <w:rFonts w:ascii="Arial" w:hAnsi="Arial" w:cs="Arial"/>
          <w:sz w:val="20"/>
        </w:rPr>
        <w:t xml:space="preserve"> </w:t>
      </w:r>
      <w:r w:rsidR="0007045D" w:rsidRPr="00791F1A">
        <w:rPr>
          <w:rFonts w:ascii="Arial" w:hAnsi="Arial" w:cs="Arial"/>
          <w:sz w:val="20"/>
        </w:rPr>
        <w:t xml:space="preserve">is due to resume </w:t>
      </w:r>
      <w:r w:rsidRPr="00791F1A">
        <w:rPr>
          <w:rFonts w:ascii="Arial" w:hAnsi="Arial" w:cs="Arial"/>
          <w:sz w:val="20"/>
        </w:rPr>
        <w:t>trading after any lay-up of</w:t>
      </w:r>
      <w:r w:rsidR="00323624" w:rsidRPr="00791F1A">
        <w:rPr>
          <w:rFonts w:ascii="Arial" w:hAnsi="Arial" w:cs="Arial"/>
          <w:sz w:val="20"/>
        </w:rPr>
        <w:t xml:space="preserve"> four </w:t>
      </w:r>
      <w:r w:rsidR="00300B3F" w:rsidRPr="00791F1A">
        <w:rPr>
          <w:rFonts w:ascii="Arial" w:hAnsi="Arial" w:cs="Arial"/>
          <w:sz w:val="20"/>
        </w:rPr>
        <w:t xml:space="preserve">consecutive calendar </w:t>
      </w:r>
      <w:r w:rsidR="00323624" w:rsidRPr="00791F1A">
        <w:rPr>
          <w:rFonts w:ascii="Arial" w:hAnsi="Arial" w:cs="Arial"/>
          <w:sz w:val="20"/>
        </w:rPr>
        <w:t>months or more</w:t>
      </w:r>
    </w:p>
    <w:p w14:paraId="224867A8" w14:textId="390BCC81" w:rsidR="008C37B7" w:rsidRPr="00791F1A" w:rsidRDefault="00346354" w:rsidP="00D85EA2">
      <w:pPr>
        <w:rPr>
          <w:rFonts w:ascii="Arial" w:hAnsi="Arial" w:cs="Arial"/>
          <w:szCs w:val="22"/>
        </w:rPr>
      </w:pPr>
      <w:r w:rsidRPr="00791F1A">
        <w:rPr>
          <w:rFonts w:ascii="Arial" w:hAnsi="Arial" w:cs="Arial"/>
        </w:rPr>
        <w:br w:type="page"/>
      </w:r>
      <w:r w:rsidR="008C37B7" w:rsidRPr="00791F1A">
        <w:rPr>
          <w:rFonts w:ascii="Arial" w:hAnsi="Arial" w:cs="Arial"/>
          <w:b/>
          <w:szCs w:val="22"/>
        </w:rPr>
        <w:lastRenderedPageBreak/>
        <w:t>Class 1 P</w:t>
      </w:r>
      <w:r w:rsidR="00EF16E6" w:rsidRPr="00791F1A">
        <w:rPr>
          <w:rFonts w:ascii="Arial" w:hAnsi="Arial" w:cs="Arial"/>
          <w:b/>
          <w:szCs w:val="22"/>
        </w:rPr>
        <w:t>rotection &amp; Indemnity Rules</w:t>
      </w:r>
      <w:r w:rsidR="008C37B7" w:rsidRPr="00791F1A">
        <w:rPr>
          <w:rFonts w:ascii="Arial" w:hAnsi="Arial" w:cs="Arial"/>
          <w:b/>
          <w:szCs w:val="22"/>
        </w:rPr>
        <w:t xml:space="preserve"> </w:t>
      </w:r>
      <w:r w:rsidR="009A6361">
        <w:rPr>
          <w:rFonts w:ascii="Arial" w:hAnsi="Arial" w:cs="Arial"/>
          <w:b/>
          <w:szCs w:val="22"/>
        </w:rPr>
        <w:t>20</w:t>
      </w:r>
      <w:r w:rsidR="00702E60">
        <w:rPr>
          <w:rFonts w:ascii="Arial" w:hAnsi="Arial" w:cs="Arial"/>
          <w:b/>
          <w:szCs w:val="22"/>
        </w:rPr>
        <w:t>2</w:t>
      </w:r>
      <w:r w:rsidR="002142AC">
        <w:rPr>
          <w:rFonts w:ascii="Arial" w:hAnsi="Arial" w:cs="Arial"/>
          <w:b/>
          <w:szCs w:val="22"/>
        </w:rPr>
        <w:t>6</w:t>
      </w:r>
      <w:r w:rsidR="00B61F89" w:rsidRPr="00791F1A">
        <w:rPr>
          <w:rFonts w:ascii="Arial" w:hAnsi="Arial" w:cs="Arial"/>
          <w:b/>
          <w:szCs w:val="22"/>
        </w:rPr>
        <w:t xml:space="preserve"> </w:t>
      </w:r>
      <w:r w:rsidR="00D70BF3" w:rsidRPr="00791F1A">
        <w:rPr>
          <w:rFonts w:ascii="Arial" w:hAnsi="Arial" w:cs="Arial"/>
          <w:b/>
          <w:szCs w:val="22"/>
        </w:rPr>
        <w:t>– Rule 48</w:t>
      </w:r>
    </w:p>
    <w:p w14:paraId="4EBD68F4" w14:textId="77777777" w:rsidR="008C37B7" w:rsidRPr="00F23272" w:rsidRDefault="008C37B7" w:rsidP="008C37B7">
      <w:pPr>
        <w:ind w:left="426" w:hanging="426"/>
        <w:rPr>
          <w:rFonts w:ascii="Arial" w:hAnsi="Arial" w:cs="Arial"/>
          <w:b/>
          <w:sz w:val="20"/>
        </w:rPr>
      </w:pPr>
    </w:p>
    <w:p w14:paraId="53703913" w14:textId="77777777" w:rsidR="00791F1A" w:rsidRPr="00791F1A" w:rsidRDefault="00791F1A" w:rsidP="00791F1A">
      <w:pPr>
        <w:tabs>
          <w:tab w:val="left" w:pos="426"/>
        </w:tabs>
        <w:autoSpaceDE w:val="0"/>
        <w:autoSpaceDN w:val="0"/>
        <w:adjustRightInd w:val="0"/>
        <w:ind w:left="425" w:hanging="425"/>
        <w:rPr>
          <w:rFonts w:ascii="Arial" w:hAnsi="Arial" w:cs="Arial"/>
          <w:b/>
          <w:sz w:val="20"/>
        </w:rPr>
      </w:pPr>
      <w:r w:rsidRPr="00791F1A">
        <w:rPr>
          <w:rFonts w:ascii="Arial" w:hAnsi="Arial" w:cs="Arial"/>
          <w:b/>
          <w:sz w:val="20"/>
        </w:rPr>
        <w:t>48</w:t>
      </w:r>
      <w:r w:rsidRPr="00791F1A">
        <w:rPr>
          <w:rFonts w:ascii="Arial" w:hAnsi="Arial" w:cs="Arial"/>
          <w:b/>
          <w:sz w:val="20"/>
        </w:rPr>
        <w:tab/>
        <w:t>Laid-Up Returns</w:t>
      </w:r>
    </w:p>
    <w:p w14:paraId="134A5EFA" w14:textId="77777777" w:rsidR="00791F1A" w:rsidRPr="00791F1A" w:rsidRDefault="00791F1A" w:rsidP="00791F1A">
      <w:pPr>
        <w:autoSpaceDE w:val="0"/>
        <w:autoSpaceDN w:val="0"/>
        <w:adjustRightInd w:val="0"/>
        <w:rPr>
          <w:rFonts w:ascii="Arial" w:hAnsi="Arial" w:cs="Arial"/>
          <w:sz w:val="20"/>
        </w:rPr>
      </w:pPr>
    </w:p>
    <w:p w14:paraId="272A64D4" w14:textId="77777777" w:rsidR="00D90A45" w:rsidRDefault="00791F1A" w:rsidP="00D90A45">
      <w:pPr>
        <w:tabs>
          <w:tab w:val="left" w:pos="426"/>
        </w:tabs>
        <w:ind w:left="426" w:hanging="426"/>
        <w:jc w:val="left"/>
        <w:rPr>
          <w:rFonts w:ascii="Arial" w:eastAsia="Calibri" w:hAnsi="Arial" w:cs="Arial"/>
          <w:sz w:val="20"/>
          <w:lang w:val="en-US" w:eastAsia="en-US"/>
        </w:rPr>
      </w:pPr>
      <w:r w:rsidRPr="00791F1A">
        <w:rPr>
          <w:rFonts w:ascii="Arial" w:eastAsia="Calibri" w:hAnsi="Arial" w:cs="Arial"/>
          <w:sz w:val="20"/>
          <w:lang w:val="en-US" w:eastAsia="en-US"/>
        </w:rPr>
        <w:t xml:space="preserve">(1) </w:t>
      </w:r>
      <w:r w:rsidRPr="00791F1A">
        <w:rPr>
          <w:rFonts w:ascii="Arial" w:eastAsia="Calibri" w:hAnsi="Arial" w:cs="Arial"/>
          <w:sz w:val="20"/>
          <w:lang w:val="en-US" w:eastAsia="en-US"/>
        </w:rPr>
        <w:tab/>
      </w:r>
      <w:r w:rsidR="002C19E4" w:rsidRPr="00B46386">
        <w:rPr>
          <w:rFonts w:ascii="Arial" w:eastAsia="Calibri" w:hAnsi="Arial" w:cs="Arial"/>
          <w:sz w:val="20"/>
          <w:lang w:val="en-US" w:eastAsia="en-US"/>
        </w:rPr>
        <w:t>If an insured vessel shall be laid-up in any safe port or place for a period of thirty or more consecutive days after anchoring or mooring there (such period being computed from the day of arrival to the day of departure, one only of such days being included) the Member concerned shall be allowed in respect of such vessel for the period of lay-up a return of Calls except Overspill Calls calculated at such rate and after deduction of such allowance for reinsurance, administrative expenses and other outgoings as the Managers may from time to time determine.</w:t>
      </w:r>
    </w:p>
    <w:p w14:paraId="206AE1D9" w14:textId="77777777" w:rsidR="00D90A45" w:rsidRPr="00D90A45" w:rsidRDefault="00D90A45" w:rsidP="00D90A45">
      <w:pPr>
        <w:tabs>
          <w:tab w:val="left" w:pos="426"/>
        </w:tabs>
        <w:ind w:left="426" w:hanging="426"/>
        <w:jc w:val="left"/>
        <w:rPr>
          <w:rFonts w:ascii="Arial" w:eastAsia="Calibri" w:hAnsi="Arial" w:cs="Arial"/>
          <w:sz w:val="20"/>
          <w:lang w:val="en-US" w:eastAsia="en-US"/>
        </w:rPr>
      </w:pPr>
    </w:p>
    <w:p w14:paraId="3F670A96" w14:textId="77777777" w:rsidR="00D90A45" w:rsidRDefault="00D90A45" w:rsidP="00D90A45">
      <w:pPr>
        <w:tabs>
          <w:tab w:val="left" w:pos="426"/>
        </w:tabs>
        <w:ind w:left="426" w:hanging="426"/>
        <w:jc w:val="left"/>
        <w:rPr>
          <w:rFonts w:ascii="Arial" w:eastAsia="Calibri" w:hAnsi="Arial" w:cs="Arial"/>
          <w:sz w:val="20"/>
          <w:lang w:val="en-US" w:eastAsia="en-US"/>
        </w:rPr>
      </w:pPr>
      <w:r w:rsidRPr="00D90A45">
        <w:rPr>
          <w:rFonts w:ascii="Arial" w:eastAsia="Calibri" w:hAnsi="Arial" w:cs="Arial"/>
          <w:sz w:val="20"/>
          <w:lang w:val="en-US" w:eastAsia="en-US"/>
        </w:rPr>
        <w:t>(2)</w:t>
      </w:r>
      <w:r>
        <w:rPr>
          <w:rFonts w:ascii="Arial" w:eastAsia="Calibri" w:hAnsi="Arial" w:cs="Arial"/>
          <w:sz w:val="20"/>
          <w:lang w:val="en-US" w:eastAsia="en-US"/>
        </w:rPr>
        <w:tab/>
      </w:r>
      <w:r w:rsidR="002C19E4" w:rsidRPr="00702E60">
        <w:rPr>
          <w:rFonts w:ascii="Arial" w:eastAsia="Calibri" w:hAnsi="Arial" w:cs="Arial"/>
          <w:sz w:val="20"/>
          <w:lang w:val="en-US" w:eastAsia="en-US"/>
        </w:rPr>
        <w:t>For the purpose of this Rule a vessel shall not be treated as laid-up if it had either crew members (other than crew necessary in the opinion of the Managers for its maintenance and safety) or cargo on board. Provided that the Managers may allow in respect of such vessel for the period of lay-up a lower return of Calls except Overspill Calls calculated at such rate and after deduction of such allowance for reinsurance, administrative expenses and other outgoings as the Managers may from time to time determine where the vessel is laid up with crew (other than crew necessary in the opinion of the Managers for its maintenance and safety) but without any cargo on board.</w:t>
      </w:r>
    </w:p>
    <w:p w14:paraId="6F0E04A4" w14:textId="77777777" w:rsidR="00D90A45" w:rsidRPr="00D90A45" w:rsidRDefault="00D90A45" w:rsidP="00D90A45">
      <w:pPr>
        <w:tabs>
          <w:tab w:val="left" w:pos="426"/>
        </w:tabs>
        <w:ind w:left="426" w:hanging="426"/>
        <w:jc w:val="left"/>
        <w:rPr>
          <w:rFonts w:ascii="Arial" w:eastAsia="Calibri" w:hAnsi="Arial" w:cs="Arial"/>
          <w:sz w:val="20"/>
          <w:lang w:val="en-US" w:eastAsia="en-US"/>
        </w:rPr>
      </w:pPr>
    </w:p>
    <w:p w14:paraId="07D4F3DA" w14:textId="77777777" w:rsidR="00D90A45" w:rsidRPr="002C19E4" w:rsidRDefault="00D90A45" w:rsidP="00D90A45">
      <w:pPr>
        <w:tabs>
          <w:tab w:val="left" w:pos="426"/>
        </w:tabs>
        <w:ind w:left="426" w:hanging="426"/>
        <w:jc w:val="left"/>
        <w:rPr>
          <w:rFonts w:ascii="Arial" w:eastAsia="Calibri" w:hAnsi="Arial" w:cs="Arial"/>
          <w:sz w:val="20"/>
          <w:lang w:val="en-US" w:eastAsia="en-US"/>
        </w:rPr>
      </w:pPr>
      <w:r w:rsidRPr="00D90A45">
        <w:rPr>
          <w:rFonts w:ascii="Arial" w:eastAsia="Calibri" w:hAnsi="Arial" w:cs="Arial"/>
          <w:sz w:val="20"/>
          <w:lang w:val="en-US" w:eastAsia="en-US"/>
        </w:rPr>
        <w:t>(3)</w:t>
      </w:r>
      <w:r>
        <w:rPr>
          <w:rFonts w:ascii="Arial" w:eastAsia="Calibri" w:hAnsi="Arial" w:cs="Arial"/>
          <w:sz w:val="20"/>
          <w:lang w:val="en-US" w:eastAsia="en-US"/>
        </w:rPr>
        <w:tab/>
      </w:r>
      <w:r w:rsidRPr="002C19E4">
        <w:rPr>
          <w:rFonts w:ascii="Arial" w:eastAsia="Calibri" w:hAnsi="Arial" w:cs="Arial"/>
          <w:sz w:val="20"/>
          <w:lang w:val="en-US" w:eastAsia="en-US"/>
        </w:rPr>
        <w:t>Unless otherwise agreed in writing by the Managers no claim for laid-up returns relating to any Policy Year shall be recoverable from the Association unless:</w:t>
      </w:r>
    </w:p>
    <w:p w14:paraId="0F9BB7CF" w14:textId="77777777" w:rsidR="00D90A45" w:rsidRPr="002C19E4" w:rsidRDefault="00D90A45" w:rsidP="00D90A45">
      <w:pPr>
        <w:tabs>
          <w:tab w:val="left" w:pos="426"/>
        </w:tabs>
        <w:ind w:left="852" w:hanging="426"/>
        <w:jc w:val="left"/>
        <w:rPr>
          <w:rFonts w:ascii="Arial" w:eastAsia="Calibri" w:hAnsi="Arial" w:cs="Arial"/>
          <w:sz w:val="20"/>
          <w:lang w:val="en-US" w:eastAsia="en-US"/>
        </w:rPr>
      </w:pPr>
      <w:r w:rsidRPr="002C19E4">
        <w:rPr>
          <w:rFonts w:ascii="Arial" w:eastAsia="Calibri" w:hAnsi="Arial" w:cs="Arial"/>
          <w:sz w:val="20"/>
          <w:lang w:val="en-US" w:eastAsia="en-US"/>
        </w:rPr>
        <w:t>(a)</w:t>
      </w:r>
      <w:r w:rsidRPr="002C19E4">
        <w:rPr>
          <w:rFonts w:ascii="Arial" w:eastAsia="Calibri" w:hAnsi="Arial" w:cs="Arial"/>
          <w:sz w:val="20"/>
          <w:lang w:val="en-US" w:eastAsia="en-US"/>
        </w:rPr>
        <w:tab/>
        <w:t>written notice of the intended lay-up has been given to the Managers before its commencement, including details of the place of lay-up and of the number of crew and the amount and nature of any cargo on board.</w:t>
      </w:r>
    </w:p>
    <w:p w14:paraId="63E729DC" w14:textId="77777777" w:rsidR="00D90A45" w:rsidRPr="002C19E4" w:rsidRDefault="00D90A45" w:rsidP="00D90A45">
      <w:pPr>
        <w:tabs>
          <w:tab w:val="left" w:pos="426"/>
        </w:tabs>
        <w:ind w:left="852" w:hanging="426"/>
        <w:jc w:val="left"/>
        <w:rPr>
          <w:rFonts w:ascii="Arial" w:eastAsia="Calibri" w:hAnsi="Arial" w:cs="Arial"/>
          <w:sz w:val="20"/>
          <w:lang w:val="en-US" w:eastAsia="en-US"/>
        </w:rPr>
      </w:pPr>
      <w:r w:rsidRPr="002C19E4">
        <w:rPr>
          <w:rFonts w:ascii="Arial" w:eastAsia="Calibri" w:hAnsi="Arial" w:cs="Arial"/>
          <w:sz w:val="20"/>
          <w:lang w:val="en-US" w:eastAsia="en-US"/>
        </w:rPr>
        <w:t>(b)</w:t>
      </w:r>
      <w:r w:rsidRPr="002C19E4">
        <w:rPr>
          <w:rFonts w:ascii="Arial" w:eastAsia="Calibri" w:hAnsi="Arial" w:cs="Arial"/>
          <w:sz w:val="20"/>
          <w:lang w:val="en-US" w:eastAsia="en-US"/>
        </w:rPr>
        <w:tab/>
        <w:t>written notice of termination of lay-up has been given to the Managers before the vessel leaves the place of lay-up</w:t>
      </w:r>
    </w:p>
    <w:p w14:paraId="363DB676" w14:textId="77777777" w:rsidR="00D90A45" w:rsidRPr="002C19E4" w:rsidRDefault="00D90A45" w:rsidP="00D90A45">
      <w:pPr>
        <w:tabs>
          <w:tab w:val="left" w:pos="426"/>
        </w:tabs>
        <w:ind w:left="852" w:hanging="426"/>
        <w:jc w:val="left"/>
        <w:rPr>
          <w:rFonts w:ascii="Arial" w:eastAsia="Calibri" w:hAnsi="Arial" w:cs="Arial"/>
          <w:sz w:val="20"/>
          <w:lang w:val="en-US" w:eastAsia="en-US"/>
        </w:rPr>
      </w:pPr>
      <w:r w:rsidRPr="002C19E4">
        <w:rPr>
          <w:rFonts w:ascii="Arial" w:eastAsia="Calibri" w:hAnsi="Arial" w:cs="Arial"/>
          <w:sz w:val="20"/>
          <w:lang w:val="en-US" w:eastAsia="en-US"/>
        </w:rPr>
        <w:t>(c)</w:t>
      </w:r>
      <w:r w:rsidRPr="002C19E4">
        <w:rPr>
          <w:rFonts w:ascii="Arial" w:eastAsia="Calibri" w:hAnsi="Arial" w:cs="Arial"/>
          <w:sz w:val="20"/>
          <w:lang w:val="en-US" w:eastAsia="en-US"/>
        </w:rPr>
        <w:tab/>
        <w:t>the claim for laid-up returns is submitted to the Managers before the earlier of the following dates: three calendar months after the end of the Policy Year to which the claim relates (where the lay-up has continued from that Policy Year into the next); and three calendar months after the termination of lay-up (regardless of whether the lay-up has continued from one Policy Year into the next), accompanied by a certificate or other document issued by the government or port authority having jurisdiction over the port or place of lay-up which states:</w:t>
      </w:r>
    </w:p>
    <w:p w14:paraId="788DA907" w14:textId="77777777" w:rsidR="00D90A45" w:rsidRPr="002C19E4" w:rsidRDefault="00D90A45" w:rsidP="00D90A45">
      <w:pPr>
        <w:tabs>
          <w:tab w:val="left" w:pos="426"/>
        </w:tabs>
        <w:ind w:left="1278" w:hanging="426"/>
        <w:jc w:val="left"/>
        <w:rPr>
          <w:rFonts w:ascii="Arial" w:eastAsia="Calibri" w:hAnsi="Arial" w:cs="Arial"/>
          <w:sz w:val="20"/>
          <w:lang w:val="en-US" w:eastAsia="en-US"/>
        </w:rPr>
      </w:pPr>
      <w:r w:rsidRPr="002C19E4">
        <w:rPr>
          <w:rFonts w:ascii="Arial" w:eastAsia="Calibri" w:hAnsi="Arial" w:cs="Arial"/>
          <w:sz w:val="20"/>
          <w:lang w:val="en-US" w:eastAsia="en-US"/>
        </w:rPr>
        <w:t>(i)</w:t>
      </w:r>
      <w:r w:rsidRPr="002C19E4">
        <w:rPr>
          <w:rFonts w:ascii="Arial" w:eastAsia="Calibri" w:hAnsi="Arial" w:cs="Arial"/>
          <w:sz w:val="20"/>
          <w:lang w:val="en-US" w:eastAsia="en-US"/>
        </w:rPr>
        <w:tab/>
        <w:t>the port or place of lay-up</w:t>
      </w:r>
    </w:p>
    <w:p w14:paraId="6D9A5B6A" w14:textId="77777777" w:rsidR="00D90A45" w:rsidRPr="002C19E4" w:rsidRDefault="00D90A45" w:rsidP="00D90A45">
      <w:pPr>
        <w:tabs>
          <w:tab w:val="left" w:pos="426"/>
        </w:tabs>
        <w:ind w:left="1278" w:hanging="426"/>
        <w:jc w:val="left"/>
        <w:rPr>
          <w:rFonts w:ascii="Arial" w:eastAsia="Calibri" w:hAnsi="Arial" w:cs="Arial"/>
          <w:sz w:val="20"/>
          <w:lang w:val="en-US" w:eastAsia="en-US"/>
        </w:rPr>
      </w:pPr>
      <w:r w:rsidRPr="002C19E4">
        <w:rPr>
          <w:rFonts w:ascii="Arial" w:eastAsia="Calibri" w:hAnsi="Arial" w:cs="Arial"/>
          <w:sz w:val="20"/>
          <w:lang w:val="en-US" w:eastAsia="en-US"/>
        </w:rPr>
        <w:t>(ii)</w:t>
      </w:r>
      <w:r w:rsidRPr="002C19E4">
        <w:rPr>
          <w:rFonts w:ascii="Arial" w:eastAsia="Calibri" w:hAnsi="Arial" w:cs="Arial"/>
          <w:sz w:val="20"/>
          <w:lang w:val="en-US" w:eastAsia="en-US"/>
        </w:rPr>
        <w:tab/>
        <w:t>the date on which the lay-up period began and, (if the lay-up has ended), the date on which the lay-up ended</w:t>
      </w:r>
    </w:p>
    <w:p w14:paraId="55B1E4AC" w14:textId="77777777" w:rsidR="00D90A45" w:rsidRPr="002C19E4" w:rsidRDefault="00D90A45" w:rsidP="00D90A45">
      <w:pPr>
        <w:tabs>
          <w:tab w:val="left" w:pos="426"/>
        </w:tabs>
        <w:ind w:left="1278" w:hanging="426"/>
        <w:jc w:val="left"/>
        <w:rPr>
          <w:rFonts w:ascii="Arial" w:eastAsia="Calibri" w:hAnsi="Arial" w:cs="Arial"/>
          <w:sz w:val="20"/>
          <w:lang w:val="en-US" w:eastAsia="en-US"/>
        </w:rPr>
      </w:pPr>
      <w:r w:rsidRPr="002C19E4">
        <w:rPr>
          <w:rFonts w:ascii="Arial" w:eastAsia="Calibri" w:hAnsi="Arial" w:cs="Arial"/>
          <w:sz w:val="20"/>
          <w:lang w:val="en-US" w:eastAsia="en-US"/>
        </w:rPr>
        <w:t>(iii)</w:t>
      </w:r>
      <w:r w:rsidRPr="002C19E4">
        <w:rPr>
          <w:rFonts w:ascii="Arial" w:eastAsia="Calibri" w:hAnsi="Arial" w:cs="Arial"/>
          <w:sz w:val="20"/>
          <w:lang w:val="en-US" w:eastAsia="en-US"/>
        </w:rPr>
        <w:tab/>
        <w:t>that the insured vessel had no cargo on board at any time during the lay-up period</w:t>
      </w:r>
    </w:p>
    <w:p w14:paraId="249E7B5E" w14:textId="77777777" w:rsidR="00D90A45" w:rsidRPr="002C19E4" w:rsidRDefault="00D90A45" w:rsidP="00D90A45">
      <w:pPr>
        <w:tabs>
          <w:tab w:val="left" w:pos="426"/>
        </w:tabs>
        <w:ind w:left="1278" w:hanging="426"/>
        <w:jc w:val="left"/>
        <w:rPr>
          <w:rFonts w:ascii="Arial" w:eastAsia="Calibri" w:hAnsi="Arial" w:cs="Arial"/>
          <w:sz w:val="20"/>
          <w:lang w:val="en-US" w:eastAsia="en-US"/>
        </w:rPr>
      </w:pPr>
      <w:r w:rsidRPr="002C19E4">
        <w:rPr>
          <w:rFonts w:ascii="Arial" w:eastAsia="Calibri" w:hAnsi="Arial" w:cs="Arial"/>
          <w:sz w:val="20"/>
          <w:lang w:val="en-US" w:eastAsia="en-US"/>
        </w:rPr>
        <w:t>(iv)</w:t>
      </w:r>
      <w:r w:rsidRPr="002C19E4">
        <w:rPr>
          <w:rFonts w:ascii="Arial" w:eastAsia="Calibri" w:hAnsi="Arial" w:cs="Arial"/>
          <w:sz w:val="20"/>
          <w:lang w:val="en-US" w:eastAsia="en-US"/>
        </w:rPr>
        <w:tab/>
        <w:t>the number of crew on board during the lay-up period.</w:t>
      </w:r>
    </w:p>
    <w:p w14:paraId="6EEF99AA" w14:textId="77777777" w:rsidR="00D90A45" w:rsidRDefault="00D90A45" w:rsidP="00D90A45">
      <w:pPr>
        <w:tabs>
          <w:tab w:val="left" w:pos="426"/>
        </w:tabs>
        <w:ind w:left="852" w:hanging="426"/>
        <w:jc w:val="left"/>
        <w:rPr>
          <w:rFonts w:ascii="Arial" w:eastAsia="Calibri" w:hAnsi="Arial" w:cs="Arial"/>
          <w:sz w:val="20"/>
          <w:lang w:val="en-US" w:eastAsia="en-US"/>
        </w:rPr>
      </w:pPr>
      <w:r w:rsidRPr="002C19E4">
        <w:rPr>
          <w:rFonts w:ascii="Arial" w:eastAsia="Calibri" w:hAnsi="Arial" w:cs="Arial"/>
          <w:sz w:val="20"/>
          <w:lang w:val="en-US" w:eastAsia="en-US"/>
        </w:rPr>
        <w:t>(d)</w:t>
      </w:r>
      <w:r w:rsidRPr="002C19E4">
        <w:rPr>
          <w:rFonts w:ascii="Arial" w:eastAsia="Calibri" w:hAnsi="Arial" w:cs="Arial"/>
          <w:sz w:val="20"/>
          <w:lang w:val="en-US" w:eastAsia="en-US"/>
        </w:rPr>
        <w:tab/>
        <w:t>the Member has provided the Managers with such information as they may require from time to time in connection with such lay-up.</w:t>
      </w:r>
    </w:p>
    <w:p w14:paraId="78E70AC3" w14:textId="77777777" w:rsidR="002C19E4" w:rsidRPr="00D90A45" w:rsidRDefault="002C19E4" w:rsidP="00D90A45">
      <w:pPr>
        <w:tabs>
          <w:tab w:val="left" w:pos="426"/>
        </w:tabs>
        <w:ind w:left="426" w:hanging="426"/>
        <w:jc w:val="left"/>
        <w:rPr>
          <w:rFonts w:ascii="Arial" w:eastAsia="Calibri" w:hAnsi="Arial" w:cs="Arial"/>
          <w:sz w:val="20"/>
          <w:lang w:val="en-US" w:eastAsia="en-US"/>
        </w:rPr>
      </w:pPr>
    </w:p>
    <w:p w14:paraId="5294CC5B" w14:textId="77777777" w:rsidR="00D90A45" w:rsidRDefault="00D90A45" w:rsidP="00D90A45">
      <w:pPr>
        <w:tabs>
          <w:tab w:val="left" w:pos="426"/>
        </w:tabs>
        <w:ind w:left="426" w:hanging="426"/>
        <w:jc w:val="left"/>
        <w:rPr>
          <w:rFonts w:ascii="Arial" w:eastAsia="Calibri" w:hAnsi="Arial" w:cs="Arial"/>
          <w:sz w:val="20"/>
          <w:lang w:val="en-US" w:eastAsia="en-US"/>
        </w:rPr>
      </w:pPr>
      <w:r w:rsidRPr="00D90A45">
        <w:rPr>
          <w:rFonts w:ascii="Arial" w:eastAsia="Calibri" w:hAnsi="Arial" w:cs="Arial"/>
          <w:sz w:val="20"/>
          <w:lang w:val="en-US" w:eastAsia="en-US"/>
        </w:rPr>
        <w:t>(4)</w:t>
      </w:r>
      <w:r>
        <w:rPr>
          <w:rFonts w:ascii="Arial" w:eastAsia="Calibri" w:hAnsi="Arial" w:cs="Arial"/>
          <w:sz w:val="20"/>
          <w:lang w:val="en-US" w:eastAsia="en-US"/>
        </w:rPr>
        <w:tab/>
      </w:r>
      <w:r w:rsidRPr="00D90A45">
        <w:rPr>
          <w:rFonts w:ascii="Arial" w:eastAsia="Calibri" w:hAnsi="Arial" w:cs="Arial"/>
          <w:sz w:val="20"/>
          <w:lang w:val="en-US" w:eastAsia="en-US"/>
        </w:rPr>
        <w:t>If an insured vessel commences or recommences trading after it has been and has</w:t>
      </w:r>
      <w:r>
        <w:rPr>
          <w:rFonts w:ascii="Arial" w:eastAsia="Calibri" w:hAnsi="Arial" w:cs="Arial"/>
          <w:sz w:val="20"/>
          <w:lang w:val="en-US" w:eastAsia="en-US"/>
        </w:rPr>
        <w:t xml:space="preserve"> </w:t>
      </w:r>
      <w:r w:rsidRPr="00D90A45">
        <w:rPr>
          <w:rFonts w:ascii="Arial" w:eastAsia="Calibri" w:hAnsi="Arial" w:cs="Arial"/>
          <w:sz w:val="20"/>
          <w:lang w:val="en-US" w:eastAsia="en-US"/>
        </w:rPr>
        <w:t>remained in safety in any safe port for a period of four consecutive calendar</w:t>
      </w:r>
      <w:r>
        <w:rPr>
          <w:rFonts w:ascii="Arial" w:eastAsia="Calibri" w:hAnsi="Arial" w:cs="Arial"/>
          <w:sz w:val="20"/>
          <w:lang w:val="en-US" w:eastAsia="en-US"/>
        </w:rPr>
        <w:t xml:space="preserve"> </w:t>
      </w:r>
      <w:r w:rsidRPr="00D90A45">
        <w:rPr>
          <w:rFonts w:ascii="Arial" w:eastAsia="Calibri" w:hAnsi="Arial" w:cs="Arial"/>
          <w:sz w:val="20"/>
          <w:lang w:val="en-US" w:eastAsia="en-US"/>
        </w:rPr>
        <w:t>months or more after anchoring or mooring there (such period being computed</w:t>
      </w:r>
      <w:r>
        <w:rPr>
          <w:rFonts w:ascii="Arial" w:eastAsia="Calibri" w:hAnsi="Arial" w:cs="Arial"/>
          <w:sz w:val="20"/>
          <w:lang w:val="en-US" w:eastAsia="en-US"/>
        </w:rPr>
        <w:t xml:space="preserve"> </w:t>
      </w:r>
      <w:r w:rsidRPr="00D90A45">
        <w:rPr>
          <w:rFonts w:ascii="Arial" w:eastAsia="Calibri" w:hAnsi="Arial" w:cs="Arial"/>
          <w:sz w:val="20"/>
          <w:lang w:val="en-US" w:eastAsia="en-US"/>
        </w:rPr>
        <w:t>from the day of arrival to the day of departure, one only of such days being</w:t>
      </w:r>
      <w:r>
        <w:rPr>
          <w:rFonts w:ascii="Arial" w:eastAsia="Calibri" w:hAnsi="Arial" w:cs="Arial"/>
          <w:sz w:val="20"/>
          <w:lang w:val="en-US" w:eastAsia="en-US"/>
        </w:rPr>
        <w:t xml:space="preserve"> </w:t>
      </w:r>
      <w:r w:rsidRPr="00D90A45">
        <w:rPr>
          <w:rFonts w:ascii="Arial" w:eastAsia="Calibri" w:hAnsi="Arial" w:cs="Arial"/>
          <w:sz w:val="20"/>
          <w:lang w:val="en-US" w:eastAsia="en-US"/>
        </w:rPr>
        <w:t>included) in circumstances in which the Member concerned is entitled to Laid-up</w:t>
      </w:r>
      <w:r>
        <w:rPr>
          <w:rFonts w:ascii="Arial" w:eastAsia="Calibri" w:hAnsi="Arial" w:cs="Arial"/>
          <w:sz w:val="20"/>
          <w:lang w:val="en-US" w:eastAsia="en-US"/>
        </w:rPr>
        <w:t xml:space="preserve"> </w:t>
      </w:r>
      <w:r w:rsidRPr="00D90A45">
        <w:rPr>
          <w:rFonts w:ascii="Arial" w:eastAsia="Calibri" w:hAnsi="Arial" w:cs="Arial"/>
          <w:sz w:val="20"/>
          <w:lang w:val="en-US" w:eastAsia="en-US"/>
        </w:rPr>
        <w:t>Returns under paragraph (1) or (2) of this Rule, the Member shall give the</w:t>
      </w:r>
      <w:r>
        <w:rPr>
          <w:rFonts w:ascii="Arial" w:eastAsia="Calibri" w:hAnsi="Arial" w:cs="Arial"/>
          <w:sz w:val="20"/>
          <w:lang w:val="en-US" w:eastAsia="en-US"/>
        </w:rPr>
        <w:t xml:space="preserve"> </w:t>
      </w:r>
      <w:r w:rsidRPr="00D90A45">
        <w:rPr>
          <w:rFonts w:ascii="Arial" w:eastAsia="Calibri" w:hAnsi="Arial" w:cs="Arial"/>
          <w:sz w:val="20"/>
          <w:lang w:val="en-US" w:eastAsia="en-US"/>
        </w:rPr>
        <w:t>Managers seven days prior written notice of such commencement or</w:t>
      </w:r>
      <w:r>
        <w:rPr>
          <w:rFonts w:ascii="Arial" w:eastAsia="Calibri" w:hAnsi="Arial" w:cs="Arial"/>
          <w:sz w:val="20"/>
          <w:lang w:val="en-US" w:eastAsia="en-US"/>
        </w:rPr>
        <w:t xml:space="preserve"> </w:t>
      </w:r>
      <w:r w:rsidRPr="00D90A45">
        <w:rPr>
          <w:rFonts w:ascii="Arial" w:eastAsia="Calibri" w:hAnsi="Arial" w:cs="Arial"/>
          <w:sz w:val="20"/>
          <w:lang w:val="en-US" w:eastAsia="en-US"/>
        </w:rPr>
        <w:t>recommencement so as to enable the Managers if they think fit to require to be</w:t>
      </w:r>
      <w:r>
        <w:rPr>
          <w:rFonts w:ascii="Arial" w:eastAsia="Calibri" w:hAnsi="Arial" w:cs="Arial"/>
          <w:sz w:val="20"/>
          <w:lang w:val="en-US" w:eastAsia="en-US"/>
        </w:rPr>
        <w:t xml:space="preserve"> </w:t>
      </w:r>
      <w:r w:rsidRPr="00D90A45">
        <w:rPr>
          <w:rFonts w:ascii="Arial" w:eastAsia="Calibri" w:hAnsi="Arial" w:cs="Arial"/>
          <w:sz w:val="20"/>
          <w:lang w:val="en-US" w:eastAsia="en-US"/>
        </w:rPr>
        <w:t>satisfied as to the condition of the insured vessel by a survey of the insured vessel</w:t>
      </w:r>
      <w:r>
        <w:rPr>
          <w:rFonts w:ascii="Arial" w:eastAsia="Calibri" w:hAnsi="Arial" w:cs="Arial"/>
          <w:sz w:val="20"/>
          <w:lang w:val="en-US" w:eastAsia="en-US"/>
        </w:rPr>
        <w:t xml:space="preserve"> </w:t>
      </w:r>
      <w:r w:rsidRPr="00D90A45">
        <w:rPr>
          <w:rFonts w:ascii="Arial" w:eastAsia="Calibri" w:hAnsi="Arial" w:cs="Arial"/>
          <w:sz w:val="20"/>
          <w:lang w:val="en-US" w:eastAsia="en-US"/>
        </w:rPr>
        <w:t>or otherwise.</w:t>
      </w:r>
    </w:p>
    <w:p w14:paraId="3170A018" w14:textId="77777777" w:rsidR="00D90A45" w:rsidRPr="00D90A45" w:rsidRDefault="00D90A45" w:rsidP="00D90A45">
      <w:pPr>
        <w:tabs>
          <w:tab w:val="left" w:pos="426"/>
        </w:tabs>
        <w:ind w:left="426" w:hanging="426"/>
        <w:jc w:val="left"/>
        <w:rPr>
          <w:rFonts w:ascii="Arial" w:eastAsia="Calibri" w:hAnsi="Arial" w:cs="Arial"/>
          <w:sz w:val="20"/>
          <w:lang w:val="en-US" w:eastAsia="en-US"/>
        </w:rPr>
      </w:pPr>
    </w:p>
    <w:p w14:paraId="48BA74D0" w14:textId="77777777" w:rsidR="00D90A45" w:rsidRDefault="00D90A45" w:rsidP="00D90A45">
      <w:pPr>
        <w:tabs>
          <w:tab w:val="left" w:pos="426"/>
        </w:tabs>
        <w:ind w:left="426" w:hanging="426"/>
        <w:jc w:val="left"/>
        <w:rPr>
          <w:rFonts w:ascii="Arial" w:eastAsia="Calibri" w:hAnsi="Arial" w:cs="Arial"/>
          <w:sz w:val="20"/>
          <w:lang w:val="en-US" w:eastAsia="en-US"/>
        </w:rPr>
      </w:pPr>
      <w:r w:rsidRPr="00D90A45">
        <w:rPr>
          <w:rFonts w:ascii="Arial" w:eastAsia="Calibri" w:hAnsi="Arial" w:cs="Arial"/>
          <w:sz w:val="20"/>
          <w:lang w:val="en-US" w:eastAsia="en-US"/>
        </w:rPr>
        <w:t>(5)</w:t>
      </w:r>
      <w:r>
        <w:rPr>
          <w:rFonts w:ascii="Arial" w:eastAsia="Calibri" w:hAnsi="Arial" w:cs="Arial"/>
          <w:sz w:val="20"/>
          <w:lang w:val="en-US" w:eastAsia="en-US"/>
        </w:rPr>
        <w:tab/>
      </w:r>
      <w:r w:rsidRPr="00D90A45">
        <w:rPr>
          <w:rFonts w:ascii="Arial" w:eastAsia="Calibri" w:hAnsi="Arial" w:cs="Arial"/>
          <w:sz w:val="20"/>
          <w:lang w:val="en-US" w:eastAsia="en-US"/>
        </w:rPr>
        <w:t>If the</w:t>
      </w:r>
      <w:r>
        <w:rPr>
          <w:rFonts w:ascii="Arial" w:eastAsia="Calibri" w:hAnsi="Arial" w:cs="Arial"/>
          <w:sz w:val="20"/>
          <w:lang w:val="en-US" w:eastAsia="en-US"/>
        </w:rPr>
        <w:t xml:space="preserve"> </w:t>
      </w:r>
      <w:r w:rsidRPr="00D90A45">
        <w:rPr>
          <w:rFonts w:ascii="Arial" w:eastAsia="Calibri" w:hAnsi="Arial" w:cs="Arial"/>
          <w:sz w:val="20"/>
          <w:lang w:val="en-US" w:eastAsia="en-US"/>
        </w:rPr>
        <w:t>Member does not so inform the</w:t>
      </w:r>
      <w:r>
        <w:rPr>
          <w:rFonts w:ascii="Arial" w:eastAsia="Calibri" w:hAnsi="Arial" w:cs="Arial"/>
          <w:sz w:val="20"/>
          <w:lang w:val="en-US" w:eastAsia="en-US"/>
        </w:rPr>
        <w:t xml:space="preserve"> </w:t>
      </w:r>
      <w:r w:rsidRPr="00D90A45">
        <w:rPr>
          <w:rFonts w:ascii="Arial" w:eastAsia="Calibri" w:hAnsi="Arial" w:cs="Arial"/>
          <w:sz w:val="20"/>
          <w:lang w:val="en-US" w:eastAsia="en-US"/>
        </w:rPr>
        <w:t>Managers, the Association shall not be liable</w:t>
      </w:r>
      <w:r>
        <w:rPr>
          <w:rFonts w:ascii="Arial" w:eastAsia="Calibri" w:hAnsi="Arial" w:cs="Arial"/>
          <w:sz w:val="20"/>
          <w:lang w:val="en-US" w:eastAsia="en-US"/>
        </w:rPr>
        <w:t xml:space="preserve"> </w:t>
      </w:r>
      <w:r w:rsidRPr="00D90A45">
        <w:rPr>
          <w:rFonts w:ascii="Arial" w:eastAsia="Calibri" w:hAnsi="Arial" w:cs="Arial"/>
          <w:sz w:val="20"/>
          <w:lang w:val="en-US" w:eastAsia="en-US"/>
        </w:rPr>
        <w:t>for any loss, damage, liability, costs or expenses which would have been avoided</w:t>
      </w:r>
      <w:r>
        <w:rPr>
          <w:rFonts w:ascii="Arial" w:eastAsia="Calibri" w:hAnsi="Arial" w:cs="Arial"/>
          <w:sz w:val="20"/>
          <w:lang w:val="en-US" w:eastAsia="en-US"/>
        </w:rPr>
        <w:t xml:space="preserve"> </w:t>
      </w:r>
      <w:r w:rsidRPr="00D90A45">
        <w:rPr>
          <w:rFonts w:ascii="Arial" w:eastAsia="Calibri" w:hAnsi="Arial" w:cs="Arial"/>
          <w:sz w:val="20"/>
          <w:lang w:val="en-US" w:eastAsia="en-US"/>
        </w:rPr>
        <w:t>if the opportunity for such survey had been given, a survey had been carried out</w:t>
      </w:r>
      <w:r>
        <w:rPr>
          <w:rFonts w:ascii="Arial" w:eastAsia="Calibri" w:hAnsi="Arial" w:cs="Arial"/>
          <w:sz w:val="20"/>
          <w:lang w:val="en-US" w:eastAsia="en-US"/>
        </w:rPr>
        <w:t xml:space="preserve"> </w:t>
      </w:r>
      <w:r w:rsidRPr="00D90A45">
        <w:rPr>
          <w:rFonts w:ascii="Arial" w:eastAsia="Calibri" w:hAnsi="Arial" w:cs="Arial"/>
          <w:sz w:val="20"/>
          <w:lang w:val="en-US" w:eastAsia="en-US"/>
        </w:rPr>
        <w:t>and all defects revealed in that survey had been remedied.</w:t>
      </w:r>
    </w:p>
    <w:p w14:paraId="34201CF7" w14:textId="77777777" w:rsidR="00D90A45" w:rsidRPr="00D90A45" w:rsidRDefault="00D90A45" w:rsidP="00D90A45">
      <w:pPr>
        <w:tabs>
          <w:tab w:val="left" w:pos="426"/>
        </w:tabs>
        <w:ind w:left="426" w:hanging="426"/>
        <w:jc w:val="left"/>
        <w:rPr>
          <w:rFonts w:ascii="Arial" w:eastAsia="Calibri" w:hAnsi="Arial" w:cs="Arial"/>
          <w:sz w:val="20"/>
          <w:lang w:val="en-US" w:eastAsia="en-US"/>
        </w:rPr>
      </w:pPr>
    </w:p>
    <w:p w14:paraId="4F03FB8F" w14:textId="77777777" w:rsidR="00D90A45" w:rsidRPr="00D90A45" w:rsidRDefault="00D90A45" w:rsidP="00D90A45">
      <w:pPr>
        <w:tabs>
          <w:tab w:val="left" w:pos="426"/>
        </w:tabs>
        <w:ind w:left="426" w:hanging="426"/>
        <w:jc w:val="left"/>
        <w:rPr>
          <w:rFonts w:ascii="Arial" w:eastAsia="Calibri" w:hAnsi="Arial" w:cs="Arial"/>
          <w:sz w:val="20"/>
          <w:lang w:val="en-US" w:eastAsia="en-US"/>
        </w:rPr>
      </w:pPr>
      <w:r w:rsidRPr="00D90A45">
        <w:rPr>
          <w:rFonts w:ascii="Arial" w:eastAsia="Calibri" w:hAnsi="Arial" w:cs="Arial"/>
          <w:sz w:val="20"/>
          <w:lang w:val="en-US" w:eastAsia="en-US"/>
        </w:rPr>
        <w:t>(6)</w:t>
      </w:r>
      <w:r>
        <w:rPr>
          <w:rFonts w:ascii="Arial" w:eastAsia="Calibri" w:hAnsi="Arial" w:cs="Arial"/>
          <w:sz w:val="20"/>
          <w:lang w:val="en-US" w:eastAsia="en-US"/>
        </w:rPr>
        <w:tab/>
      </w:r>
      <w:r w:rsidRPr="00D90A45">
        <w:rPr>
          <w:rFonts w:ascii="Arial" w:eastAsia="Calibri" w:hAnsi="Arial" w:cs="Arial"/>
          <w:sz w:val="20"/>
          <w:lang w:val="en-US" w:eastAsia="en-US"/>
        </w:rPr>
        <w:t>The Directors shall have sole discretion in determining whether the port or place</w:t>
      </w:r>
      <w:r>
        <w:rPr>
          <w:rFonts w:ascii="Arial" w:eastAsia="Calibri" w:hAnsi="Arial" w:cs="Arial"/>
          <w:sz w:val="20"/>
          <w:lang w:val="en-US" w:eastAsia="en-US"/>
        </w:rPr>
        <w:t xml:space="preserve"> </w:t>
      </w:r>
      <w:r w:rsidRPr="00D90A45">
        <w:rPr>
          <w:rFonts w:ascii="Arial" w:eastAsia="Calibri" w:hAnsi="Arial" w:cs="Arial"/>
          <w:sz w:val="20"/>
          <w:lang w:val="en-US" w:eastAsia="en-US"/>
        </w:rPr>
        <w:t>concerned is safe within the meaning of this Rule 48.</w:t>
      </w:r>
    </w:p>
    <w:p w14:paraId="66D66FE5" w14:textId="77777777" w:rsidR="00D90A45" w:rsidRDefault="00D90A45" w:rsidP="00D90A45">
      <w:pPr>
        <w:ind w:left="426" w:hanging="426"/>
        <w:jc w:val="left"/>
        <w:rPr>
          <w:rFonts w:ascii="Arial" w:eastAsia="Calibri" w:hAnsi="Arial" w:cs="Arial"/>
          <w:sz w:val="20"/>
          <w:lang w:val="en-US" w:eastAsia="en-US"/>
        </w:rPr>
      </w:pPr>
    </w:p>
    <w:p w14:paraId="4B8F80F4" w14:textId="77777777" w:rsidR="00D90A45" w:rsidRDefault="00D90A45" w:rsidP="00D90A45">
      <w:pPr>
        <w:ind w:left="426" w:hanging="426"/>
        <w:jc w:val="left"/>
        <w:rPr>
          <w:rFonts w:ascii="Arial" w:eastAsia="Calibri" w:hAnsi="Arial" w:cs="Arial"/>
          <w:sz w:val="20"/>
          <w:lang w:val="en-US" w:eastAsia="en-US"/>
        </w:rPr>
      </w:pPr>
    </w:p>
    <w:sectPr w:rsidR="00D90A45" w:rsidSect="009343FA">
      <w:headerReference w:type="default" r:id="rId7"/>
      <w:pgSz w:w="11907" w:h="16840" w:code="9"/>
      <w:pgMar w:top="1134" w:right="1134" w:bottom="1134" w:left="1134" w:header="567" w:footer="1701"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1D0D" w14:textId="77777777" w:rsidR="007D62FE" w:rsidRDefault="007D62FE">
      <w:r>
        <w:separator/>
      </w:r>
    </w:p>
  </w:endnote>
  <w:endnote w:type="continuationSeparator" w:id="0">
    <w:p w14:paraId="048EC993" w14:textId="77777777" w:rsidR="007D62FE" w:rsidRDefault="007D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8AE5" w14:textId="77777777" w:rsidR="007D62FE" w:rsidRDefault="007D62FE">
      <w:r>
        <w:separator/>
      </w:r>
    </w:p>
  </w:footnote>
  <w:footnote w:type="continuationSeparator" w:id="0">
    <w:p w14:paraId="13B03A9F" w14:textId="77777777" w:rsidR="007D62FE" w:rsidRDefault="007D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235C" w14:textId="4542781C" w:rsidR="00323624" w:rsidRPr="009343FA" w:rsidRDefault="00505D0D" w:rsidP="009343FA">
    <w:pPr>
      <w:pStyle w:val="Header"/>
      <w:jc w:val="right"/>
      <w:rPr>
        <w:lang w:val="en-US"/>
      </w:rPr>
    </w:pPr>
    <w:r>
      <w:rPr>
        <w:noProof/>
      </w:rPr>
      <w:drawing>
        <wp:inline distT="0" distB="0" distL="0" distR="0" wp14:anchorId="27466039" wp14:editId="6527DC7C">
          <wp:extent cx="1590675" cy="4286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34F95"/>
    <w:multiLevelType w:val="hybridMultilevel"/>
    <w:tmpl w:val="436E298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C6018B1"/>
    <w:multiLevelType w:val="hybridMultilevel"/>
    <w:tmpl w:val="A86CDFB0"/>
    <w:lvl w:ilvl="0" w:tplc="9A1A70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AF20DC"/>
    <w:multiLevelType w:val="multilevel"/>
    <w:tmpl w:val="BBBA6A92"/>
    <w:lvl w:ilvl="0">
      <w:start w:val="1"/>
      <w:numFmt w:val="decimal"/>
      <w:lvlText w:val="%1."/>
      <w:lvlJc w:val="left"/>
      <w:pPr>
        <w:tabs>
          <w:tab w:val="num" w:pos="567"/>
        </w:tabs>
        <w:ind w:left="567" w:hanging="567"/>
      </w:pPr>
    </w:lvl>
    <w:lvl w:ilvl="1">
      <w:start w:val="1"/>
      <w:numFmt w:val="decimal"/>
      <w:pStyle w:val="Heading2"/>
      <w:lvlText w:val="%2."/>
      <w:lvlJc w:val="left"/>
      <w:pPr>
        <w:tabs>
          <w:tab w:val="num" w:pos="567"/>
        </w:tabs>
        <w:ind w:left="567" w:hanging="567"/>
      </w:pPr>
    </w:lvl>
    <w:lvl w:ilvl="2">
      <w:start w:val="1"/>
      <w:numFmt w:val="lowerLetter"/>
      <w:pStyle w:val="Heading3"/>
      <w:lvlText w:val="%3)"/>
      <w:lvlJc w:val="left"/>
      <w:pPr>
        <w:tabs>
          <w:tab w:val="num" w:pos="1134"/>
        </w:tabs>
        <w:ind w:left="1134" w:hanging="567"/>
      </w:pPr>
    </w:lvl>
    <w:lvl w:ilvl="3">
      <w:start w:val="1"/>
      <w:numFmt w:val="lowerRoman"/>
      <w:pStyle w:val="Heading4"/>
      <w:lvlText w:val="%4)"/>
      <w:lvlJc w:val="left"/>
      <w:pPr>
        <w:tabs>
          <w:tab w:val="num" w:pos="1854"/>
        </w:tabs>
        <w:ind w:left="1701" w:hanging="567"/>
      </w:p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3" w15:restartNumberingAfterBreak="0">
    <w:nsid w:val="3FC1103E"/>
    <w:multiLevelType w:val="multilevel"/>
    <w:tmpl w:val="32B83FBA"/>
    <w:lvl w:ilvl="0">
      <w:start w:val="1"/>
      <w:numFmt w:val="decimal"/>
      <w:pStyle w:val="AutoNum"/>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tabs>
          <w:tab w:val="num" w:pos="1134"/>
        </w:tabs>
        <w:ind w:left="1134" w:hanging="567"/>
      </w:pPr>
      <w:rPr>
        <w:rFonts w:ascii="Times New Roman" w:hAnsi="Times New Roman" w:hint="default"/>
        <w:b w:val="0"/>
        <w:i w:val="0"/>
        <w:sz w:val="22"/>
      </w:rPr>
    </w:lvl>
    <w:lvl w:ilvl="2">
      <w:start w:val="1"/>
      <w:numFmt w:val="lowerRoman"/>
      <w:lvlText w:val="%3)"/>
      <w:lvlJc w:val="left"/>
      <w:pPr>
        <w:tabs>
          <w:tab w:val="num" w:pos="1701"/>
        </w:tabs>
        <w:ind w:left="1701" w:hanging="567"/>
      </w:pPr>
      <w:rPr>
        <w:rFonts w:ascii="Times New Roman" w:hAnsi="Times New Roman" w:hint="default"/>
        <w:b w:val="0"/>
        <w:i w:val="0"/>
        <w:sz w:val="22"/>
      </w:rPr>
    </w:lvl>
    <w:lvl w:ilvl="3">
      <w:start w:val="1"/>
      <w:numFmt w:val="bullet"/>
      <w:lvlText w:val=""/>
      <w:lvlJc w:val="left"/>
      <w:pPr>
        <w:tabs>
          <w:tab w:val="num" w:pos="2268"/>
        </w:tabs>
        <w:ind w:left="2268" w:hanging="567"/>
      </w:pPr>
      <w:rPr>
        <w:rFonts w:ascii="Symbol" w:hAnsi="Symbol" w:hint="default"/>
        <w:b w:val="0"/>
        <w:i w:val="0"/>
      </w:r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4" w15:restartNumberingAfterBreak="0">
    <w:nsid w:val="4B025E8A"/>
    <w:multiLevelType w:val="singleLevel"/>
    <w:tmpl w:val="47EEE414"/>
    <w:lvl w:ilvl="0">
      <w:start w:val="1"/>
      <w:numFmt w:val="lowerRoman"/>
      <w:pStyle w:val="Style1"/>
      <w:lvlText w:val="(%1)"/>
      <w:lvlJc w:val="left"/>
      <w:pPr>
        <w:tabs>
          <w:tab w:val="num" w:pos="1854"/>
        </w:tabs>
        <w:ind w:left="1701" w:hanging="567"/>
      </w:pPr>
    </w:lvl>
  </w:abstractNum>
  <w:abstractNum w:abstractNumId="5" w15:restartNumberingAfterBreak="0">
    <w:nsid w:val="4B5A7DC6"/>
    <w:multiLevelType w:val="hybridMultilevel"/>
    <w:tmpl w:val="6FBAAF4A"/>
    <w:lvl w:ilvl="0" w:tplc="FFFFFFFF">
      <w:start w:val="6"/>
      <w:numFmt w:val="decimal"/>
      <w:lvlText w:val="(%1)"/>
      <w:lvlJc w:val="left"/>
      <w:pPr>
        <w:tabs>
          <w:tab w:val="num" w:pos="927"/>
        </w:tabs>
        <w:ind w:left="927" w:hanging="360"/>
      </w:pPr>
      <w:rPr>
        <w:rFonts w:hint="default"/>
        <w:b w:val="0"/>
        <w:i w:val="0"/>
      </w:rPr>
    </w:lvl>
    <w:lvl w:ilvl="1" w:tplc="FFFFFFFF">
      <w:start w:val="1"/>
      <w:numFmt w:val="lowerLetter"/>
      <w:lvlText w:val="(%2)"/>
      <w:lvlJc w:val="left"/>
      <w:pPr>
        <w:tabs>
          <w:tab w:val="num" w:pos="1440"/>
        </w:tabs>
        <w:ind w:left="1440" w:hanging="360"/>
      </w:pPr>
      <w:rPr>
        <w:rFonts w:hint="default"/>
        <w:b w:val="0"/>
        <w:i w:val="0"/>
      </w:rPr>
    </w:lvl>
    <w:lvl w:ilvl="2" w:tplc="FFFFFFFF">
      <w:start w:val="1"/>
      <w:numFmt w:val="lowerRoman"/>
      <w:lvlText w:val="(%3)"/>
      <w:lvlJc w:val="right"/>
      <w:pPr>
        <w:tabs>
          <w:tab w:val="num" w:pos="2160"/>
        </w:tabs>
        <w:ind w:left="2160" w:hanging="18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7691A2A"/>
    <w:multiLevelType w:val="hybridMultilevel"/>
    <w:tmpl w:val="7952CA6C"/>
    <w:lvl w:ilvl="0" w:tplc="3176D376">
      <w:start w:val="5"/>
      <w:numFmt w:val="decimal"/>
      <w:lvlText w:val="(%1)"/>
      <w:lvlJc w:val="left"/>
      <w:pPr>
        <w:tabs>
          <w:tab w:val="num" w:pos="1374"/>
        </w:tabs>
        <w:ind w:left="1374" w:hanging="360"/>
      </w:pPr>
      <w:rPr>
        <w:rFonts w:cs="Times New Roman" w:hint="default"/>
      </w:rPr>
    </w:lvl>
    <w:lvl w:ilvl="1" w:tplc="08090019" w:tentative="1">
      <w:start w:val="1"/>
      <w:numFmt w:val="lowerLetter"/>
      <w:lvlText w:val="%2."/>
      <w:lvlJc w:val="left"/>
      <w:pPr>
        <w:tabs>
          <w:tab w:val="num" w:pos="2094"/>
        </w:tabs>
        <w:ind w:left="2094" w:hanging="360"/>
      </w:pPr>
      <w:rPr>
        <w:rFonts w:cs="Times New Roman"/>
      </w:rPr>
    </w:lvl>
    <w:lvl w:ilvl="2" w:tplc="0809001B" w:tentative="1">
      <w:start w:val="1"/>
      <w:numFmt w:val="lowerRoman"/>
      <w:lvlText w:val="%3."/>
      <w:lvlJc w:val="right"/>
      <w:pPr>
        <w:tabs>
          <w:tab w:val="num" w:pos="2814"/>
        </w:tabs>
        <w:ind w:left="2814" w:hanging="180"/>
      </w:pPr>
      <w:rPr>
        <w:rFonts w:cs="Times New Roman"/>
      </w:rPr>
    </w:lvl>
    <w:lvl w:ilvl="3" w:tplc="0809000F" w:tentative="1">
      <w:start w:val="1"/>
      <w:numFmt w:val="decimal"/>
      <w:lvlText w:val="%4."/>
      <w:lvlJc w:val="left"/>
      <w:pPr>
        <w:tabs>
          <w:tab w:val="num" w:pos="3534"/>
        </w:tabs>
        <w:ind w:left="3534" w:hanging="360"/>
      </w:pPr>
      <w:rPr>
        <w:rFonts w:cs="Times New Roman"/>
      </w:rPr>
    </w:lvl>
    <w:lvl w:ilvl="4" w:tplc="08090019" w:tentative="1">
      <w:start w:val="1"/>
      <w:numFmt w:val="lowerLetter"/>
      <w:lvlText w:val="%5."/>
      <w:lvlJc w:val="left"/>
      <w:pPr>
        <w:tabs>
          <w:tab w:val="num" w:pos="4254"/>
        </w:tabs>
        <w:ind w:left="4254" w:hanging="360"/>
      </w:pPr>
      <w:rPr>
        <w:rFonts w:cs="Times New Roman"/>
      </w:rPr>
    </w:lvl>
    <w:lvl w:ilvl="5" w:tplc="0809001B" w:tentative="1">
      <w:start w:val="1"/>
      <w:numFmt w:val="lowerRoman"/>
      <w:lvlText w:val="%6."/>
      <w:lvlJc w:val="right"/>
      <w:pPr>
        <w:tabs>
          <w:tab w:val="num" w:pos="4974"/>
        </w:tabs>
        <w:ind w:left="4974" w:hanging="180"/>
      </w:pPr>
      <w:rPr>
        <w:rFonts w:cs="Times New Roman"/>
      </w:rPr>
    </w:lvl>
    <w:lvl w:ilvl="6" w:tplc="0809000F" w:tentative="1">
      <w:start w:val="1"/>
      <w:numFmt w:val="decimal"/>
      <w:lvlText w:val="%7."/>
      <w:lvlJc w:val="left"/>
      <w:pPr>
        <w:tabs>
          <w:tab w:val="num" w:pos="5694"/>
        </w:tabs>
        <w:ind w:left="5694" w:hanging="360"/>
      </w:pPr>
      <w:rPr>
        <w:rFonts w:cs="Times New Roman"/>
      </w:rPr>
    </w:lvl>
    <w:lvl w:ilvl="7" w:tplc="08090019" w:tentative="1">
      <w:start w:val="1"/>
      <w:numFmt w:val="lowerLetter"/>
      <w:lvlText w:val="%8."/>
      <w:lvlJc w:val="left"/>
      <w:pPr>
        <w:tabs>
          <w:tab w:val="num" w:pos="6414"/>
        </w:tabs>
        <w:ind w:left="6414" w:hanging="360"/>
      </w:pPr>
      <w:rPr>
        <w:rFonts w:cs="Times New Roman"/>
      </w:rPr>
    </w:lvl>
    <w:lvl w:ilvl="8" w:tplc="0809001B" w:tentative="1">
      <w:start w:val="1"/>
      <w:numFmt w:val="lowerRoman"/>
      <w:lvlText w:val="%9."/>
      <w:lvlJc w:val="right"/>
      <w:pPr>
        <w:tabs>
          <w:tab w:val="num" w:pos="7134"/>
        </w:tabs>
        <w:ind w:left="7134" w:hanging="180"/>
      </w:pPr>
      <w:rPr>
        <w:rFonts w:cs="Times New Roman"/>
      </w:rPr>
    </w:lvl>
  </w:abstractNum>
  <w:abstractNum w:abstractNumId="7" w15:restartNumberingAfterBreak="0">
    <w:nsid w:val="60AE413F"/>
    <w:multiLevelType w:val="singleLevel"/>
    <w:tmpl w:val="DE7E185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E15DB0"/>
    <w:multiLevelType w:val="singleLevel"/>
    <w:tmpl w:val="DE7E185A"/>
    <w:lvl w:ilvl="0">
      <w:start w:val="1"/>
      <w:numFmt w:val="bullet"/>
      <w:lvlText w:val=""/>
      <w:lvlJc w:val="left"/>
      <w:pPr>
        <w:tabs>
          <w:tab w:val="num" w:pos="360"/>
        </w:tabs>
        <w:ind w:left="360" w:hanging="360"/>
      </w:pPr>
      <w:rPr>
        <w:rFonts w:ascii="Symbol" w:hAnsi="Symbol" w:hint="default"/>
      </w:rPr>
    </w:lvl>
  </w:abstractNum>
  <w:num w:numId="1" w16cid:durableId="87074">
    <w:abstractNumId w:val="3"/>
  </w:num>
  <w:num w:numId="2" w16cid:durableId="1704016183">
    <w:abstractNumId w:val="2"/>
  </w:num>
  <w:num w:numId="3" w16cid:durableId="851798795">
    <w:abstractNumId w:val="2"/>
  </w:num>
  <w:num w:numId="4" w16cid:durableId="1611011550">
    <w:abstractNumId w:val="2"/>
  </w:num>
  <w:num w:numId="5" w16cid:durableId="747727060">
    <w:abstractNumId w:val="4"/>
  </w:num>
  <w:num w:numId="6" w16cid:durableId="1329284281">
    <w:abstractNumId w:val="4"/>
  </w:num>
  <w:num w:numId="7" w16cid:durableId="1105930329">
    <w:abstractNumId w:val="8"/>
  </w:num>
  <w:num w:numId="8" w16cid:durableId="217058573">
    <w:abstractNumId w:val="7"/>
  </w:num>
  <w:num w:numId="9" w16cid:durableId="1521385360">
    <w:abstractNumId w:val="5"/>
  </w:num>
  <w:num w:numId="10" w16cid:durableId="461845818">
    <w:abstractNumId w:val="6"/>
  </w:num>
  <w:num w:numId="11" w16cid:durableId="941037567">
    <w:abstractNumId w:val="0"/>
  </w:num>
  <w:num w:numId="12" w16cid:durableId="140175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C7"/>
    <w:rsid w:val="0006306E"/>
    <w:rsid w:val="0007045D"/>
    <w:rsid w:val="000814F6"/>
    <w:rsid w:val="000C52CB"/>
    <w:rsid w:val="000F2D24"/>
    <w:rsid w:val="000F4892"/>
    <w:rsid w:val="001416C6"/>
    <w:rsid w:val="0015750E"/>
    <w:rsid w:val="00157B7C"/>
    <w:rsid w:val="00181451"/>
    <w:rsid w:val="00190F44"/>
    <w:rsid w:val="001E62A8"/>
    <w:rsid w:val="002142AC"/>
    <w:rsid w:val="0021658F"/>
    <w:rsid w:val="00240761"/>
    <w:rsid w:val="002527B6"/>
    <w:rsid w:val="00255F54"/>
    <w:rsid w:val="00263AEB"/>
    <w:rsid w:val="00283221"/>
    <w:rsid w:val="002C19E4"/>
    <w:rsid w:val="002E5D24"/>
    <w:rsid w:val="00300B3F"/>
    <w:rsid w:val="003075F4"/>
    <w:rsid w:val="00323624"/>
    <w:rsid w:val="00331156"/>
    <w:rsid w:val="00346354"/>
    <w:rsid w:val="00350FB3"/>
    <w:rsid w:val="003B1E6D"/>
    <w:rsid w:val="00421EA4"/>
    <w:rsid w:val="00422C95"/>
    <w:rsid w:val="0044291B"/>
    <w:rsid w:val="00467D8F"/>
    <w:rsid w:val="004A012C"/>
    <w:rsid w:val="004A5F5E"/>
    <w:rsid w:val="004D4BFF"/>
    <w:rsid w:val="004E2B97"/>
    <w:rsid w:val="004F7432"/>
    <w:rsid w:val="00505D0D"/>
    <w:rsid w:val="00517C92"/>
    <w:rsid w:val="005254C0"/>
    <w:rsid w:val="005947E6"/>
    <w:rsid w:val="005B5DDA"/>
    <w:rsid w:val="005C1AD1"/>
    <w:rsid w:val="00625FC8"/>
    <w:rsid w:val="0063303E"/>
    <w:rsid w:val="00641549"/>
    <w:rsid w:val="00685B90"/>
    <w:rsid w:val="00696477"/>
    <w:rsid w:val="006A28F9"/>
    <w:rsid w:val="006C221F"/>
    <w:rsid w:val="006C39E2"/>
    <w:rsid w:val="006E7531"/>
    <w:rsid w:val="00702E60"/>
    <w:rsid w:val="00781BC7"/>
    <w:rsid w:val="00791F1A"/>
    <w:rsid w:val="007A1495"/>
    <w:rsid w:val="007A4C98"/>
    <w:rsid w:val="007C658D"/>
    <w:rsid w:val="007D62FE"/>
    <w:rsid w:val="007D670F"/>
    <w:rsid w:val="007E56F7"/>
    <w:rsid w:val="007F7C01"/>
    <w:rsid w:val="00857786"/>
    <w:rsid w:val="00895C90"/>
    <w:rsid w:val="008A266F"/>
    <w:rsid w:val="008C37B7"/>
    <w:rsid w:val="008C724F"/>
    <w:rsid w:val="008D64C8"/>
    <w:rsid w:val="00931266"/>
    <w:rsid w:val="009343FA"/>
    <w:rsid w:val="00935508"/>
    <w:rsid w:val="009460FF"/>
    <w:rsid w:val="0098396D"/>
    <w:rsid w:val="009A6361"/>
    <w:rsid w:val="009F1DB4"/>
    <w:rsid w:val="00A02553"/>
    <w:rsid w:val="00A07B42"/>
    <w:rsid w:val="00A13D7C"/>
    <w:rsid w:val="00A47563"/>
    <w:rsid w:val="00A8081D"/>
    <w:rsid w:val="00AA59C4"/>
    <w:rsid w:val="00AC221B"/>
    <w:rsid w:val="00AD3316"/>
    <w:rsid w:val="00AE771F"/>
    <w:rsid w:val="00AF6A0A"/>
    <w:rsid w:val="00B01F18"/>
    <w:rsid w:val="00B2383F"/>
    <w:rsid w:val="00B42F44"/>
    <w:rsid w:val="00B46386"/>
    <w:rsid w:val="00B572ED"/>
    <w:rsid w:val="00B61F89"/>
    <w:rsid w:val="00B92C52"/>
    <w:rsid w:val="00BB1036"/>
    <w:rsid w:val="00BB6C42"/>
    <w:rsid w:val="00BB763D"/>
    <w:rsid w:val="00BC2BA9"/>
    <w:rsid w:val="00BC6041"/>
    <w:rsid w:val="00BC7B62"/>
    <w:rsid w:val="00BD1D8D"/>
    <w:rsid w:val="00C05C1E"/>
    <w:rsid w:val="00C26B51"/>
    <w:rsid w:val="00C74660"/>
    <w:rsid w:val="00C96202"/>
    <w:rsid w:val="00CA03CF"/>
    <w:rsid w:val="00CA1BF5"/>
    <w:rsid w:val="00CD44DA"/>
    <w:rsid w:val="00CF2920"/>
    <w:rsid w:val="00CF39F0"/>
    <w:rsid w:val="00D51902"/>
    <w:rsid w:val="00D70BF3"/>
    <w:rsid w:val="00D85EA2"/>
    <w:rsid w:val="00D90A45"/>
    <w:rsid w:val="00DA4A9C"/>
    <w:rsid w:val="00DB098E"/>
    <w:rsid w:val="00DD7A55"/>
    <w:rsid w:val="00E04877"/>
    <w:rsid w:val="00E117AB"/>
    <w:rsid w:val="00E22BD0"/>
    <w:rsid w:val="00E56664"/>
    <w:rsid w:val="00E63073"/>
    <w:rsid w:val="00E67446"/>
    <w:rsid w:val="00E93959"/>
    <w:rsid w:val="00EF16E6"/>
    <w:rsid w:val="00EF6A08"/>
    <w:rsid w:val="00F14572"/>
    <w:rsid w:val="00F23272"/>
    <w:rsid w:val="00F36F82"/>
    <w:rsid w:val="00F50DC7"/>
    <w:rsid w:val="00F63379"/>
    <w:rsid w:val="00F8500D"/>
    <w:rsid w:val="00F92956"/>
    <w:rsid w:val="00FB2883"/>
    <w:rsid w:val="00FF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D2009"/>
  <w15:chartTrackingRefBased/>
  <w15:docId w15:val="{FB4B4DFB-8AF4-4E44-AF92-A5CF1F45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GB"/>
    </w:rPr>
  </w:style>
  <w:style w:type="paragraph" w:styleId="Heading1">
    <w:name w:val="heading 1"/>
    <w:basedOn w:val="Normal"/>
    <w:next w:val="Body1"/>
    <w:qFormat/>
    <w:pPr>
      <w:keepNext/>
      <w:spacing w:before="120"/>
      <w:jc w:val="center"/>
      <w:outlineLvl w:val="0"/>
    </w:pPr>
    <w:rPr>
      <w:b/>
      <w:caps/>
      <w:kern w:val="28"/>
      <w:sz w:val="32"/>
    </w:rPr>
  </w:style>
  <w:style w:type="paragraph" w:styleId="Heading2">
    <w:name w:val="heading 2"/>
    <w:basedOn w:val="Normal"/>
    <w:next w:val="Body2"/>
    <w:qFormat/>
    <w:pPr>
      <w:keepNext/>
      <w:numPr>
        <w:ilvl w:val="1"/>
        <w:numId w:val="2"/>
      </w:numPr>
      <w:tabs>
        <w:tab w:val="clear" w:pos="567"/>
      </w:tabs>
      <w:outlineLvl w:val="1"/>
    </w:pPr>
    <w:rPr>
      <w:b/>
      <w:caps/>
      <w:sz w:val="24"/>
    </w:rPr>
  </w:style>
  <w:style w:type="paragraph" w:styleId="Heading3">
    <w:name w:val="heading 3"/>
    <w:basedOn w:val="Normal"/>
    <w:next w:val="Body3"/>
    <w:qFormat/>
    <w:pPr>
      <w:keepNext/>
      <w:numPr>
        <w:ilvl w:val="2"/>
        <w:numId w:val="3"/>
      </w:numPr>
      <w:tabs>
        <w:tab w:val="clear" w:pos="1134"/>
      </w:tabs>
      <w:outlineLvl w:val="2"/>
    </w:pPr>
    <w:rPr>
      <w:b/>
      <w:sz w:val="24"/>
    </w:rPr>
  </w:style>
  <w:style w:type="paragraph" w:styleId="Heading4">
    <w:name w:val="heading 4"/>
    <w:basedOn w:val="Normal"/>
    <w:next w:val="Body4"/>
    <w:qFormat/>
    <w:pPr>
      <w:keepNext/>
      <w:numPr>
        <w:ilvl w:val="3"/>
        <w:numId w:val="4"/>
      </w:numPr>
      <w:tabs>
        <w:tab w:val="clear" w:pos="1854"/>
      </w:tabs>
      <w:outlineLvl w:val="3"/>
    </w:pPr>
    <w:rPr>
      <w:b/>
    </w:rPr>
  </w:style>
  <w:style w:type="paragraph" w:styleId="Heading5">
    <w:name w:val="heading 5"/>
    <w:basedOn w:val="Normal"/>
    <w:next w:val="Normal"/>
    <w:qFormat/>
    <w:pPr>
      <w:keepNext/>
      <w:tabs>
        <w:tab w:val="left" w:pos="993"/>
        <w:tab w:val="left" w:pos="5954"/>
        <w:tab w:val="left" w:pos="8647"/>
        <w:tab w:val="left" w:pos="10915"/>
      </w:tabs>
      <w:jc w:val="left"/>
      <w:outlineLvl w:val="4"/>
    </w:pPr>
    <w:rPr>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Num">
    <w:name w:val="AutoNum"/>
    <w:basedOn w:val="Normal"/>
    <w:pPr>
      <w:numPr>
        <w:numId w:val="1"/>
      </w:numPr>
      <w:tabs>
        <w:tab w:val="clear" w:pos="567"/>
      </w:tabs>
      <w:spacing w:after="240"/>
    </w:pPr>
  </w:style>
  <w:style w:type="paragraph" w:customStyle="1" w:styleId="Body1">
    <w:name w:val="Body 1"/>
    <w:basedOn w:val="Normal"/>
  </w:style>
  <w:style w:type="paragraph" w:customStyle="1" w:styleId="Body2">
    <w:name w:val="Body 2"/>
    <w:basedOn w:val="Normal"/>
    <w:pPr>
      <w:ind w:left="567"/>
    </w:pPr>
  </w:style>
  <w:style w:type="paragraph" w:customStyle="1" w:styleId="Body3">
    <w:name w:val="Body 3"/>
    <w:basedOn w:val="Normal"/>
    <w:pPr>
      <w:ind w:left="1134"/>
    </w:pPr>
  </w:style>
  <w:style w:type="paragraph" w:customStyle="1" w:styleId="Body4">
    <w:name w:val="Body 4"/>
    <w:basedOn w:val="Normal"/>
    <w:pPr>
      <w:ind w:left="1701"/>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Normal"/>
    <w:pPr>
      <w:numPr>
        <w:numId w:val="6"/>
      </w:numPr>
      <w:tabs>
        <w:tab w:val="left" w:pos="1701"/>
      </w:tabs>
    </w:pPr>
  </w:style>
  <w:style w:type="paragraph" w:styleId="Title">
    <w:name w:val="Title"/>
    <w:basedOn w:val="Normal"/>
    <w:qFormat/>
    <w:pPr>
      <w:jc w:val="center"/>
    </w:pPr>
    <w:rPr>
      <w:b/>
    </w:rPr>
  </w:style>
  <w:style w:type="paragraph" w:styleId="BodyText">
    <w:name w:val="Body Text"/>
    <w:basedOn w:val="Normal"/>
    <w:pPr>
      <w:jc w:val="left"/>
    </w:pPr>
  </w:style>
  <w:style w:type="paragraph" w:styleId="BodyText2">
    <w:name w:val="Body Text 2"/>
    <w:basedOn w:val="Normal"/>
    <w:pPr>
      <w:tabs>
        <w:tab w:val="left" w:pos="993"/>
        <w:tab w:val="left" w:pos="1560"/>
        <w:tab w:val="left" w:pos="5245"/>
        <w:tab w:val="left" w:pos="5954"/>
        <w:tab w:val="left" w:pos="7088"/>
        <w:tab w:val="left" w:pos="8647"/>
        <w:tab w:val="left" w:pos="10915"/>
      </w:tabs>
      <w:jc w:val="left"/>
    </w:pPr>
    <w:rPr>
      <w:sz w:val="18"/>
    </w:rPr>
  </w:style>
  <w:style w:type="table" w:styleId="TableGrid">
    <w:name w:val="Table Grid"/>
    <w:basedOn w:val="TableNormal"/>
    <w:rsid w:val="00C26B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16C6"/>
    <w:rPr>
      <w:rFonts w:ascii="Tahoma" w:hAnsi="Tahoma" w:cs="Tahoma"/>
      <w:sz w:val="16"/>
      <w:szCs w:val="16"/>
    </w:rPr>
  </w:style>
  <w:style w:type="paragraph" w:styleId="ListParagraph">
    <w:name w:val="List Paragraph"/>
    <w:basedOn w:val="Normal"/>
    <w:uiPriority w:val="34"/>
    <w:qFormat/>
    <w:rsid w:val="00791F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LAID-UP RETURN DECLARATION</vt:lpstr>
    </vt:vector>
  </TitlesOfParts>
  <Company>West Of England</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LAID-UP RETURN DECLARATION</dc:title>
  <dc:subject/>
  <dc:creator>Rigby1s</dc:creator>
  <cp:keywords/>
  <cp:lastModifiedBy>Chris Adie</cp:lastModifiedBy>
  <cp:revision>3</cp:revision>
  <cp:lastPrinted>2012-09-18T05:05:00Z</cp:lastPrinted>
  <dcterms:created xsi:type="dcterms:W3CDTF">2026-01-08T12:30:00Z</dcterms:created>
  <dcterms:modified xsi:type="dcterms:W3CDTF">2026-01-08T12:30:00Z</dcterms:modified>
</cp:coreProperties>
</file>